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3C" w:rsidRPr="00E3003C" w:rsidRDefault="00E3003C" w:rsidP="00E3003C">
      <w:pPr>
        <w:jc w:val="center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INTERNAL CONTROL FOR INSIDER TRADING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tabs>
          <w:tab w:val="left" w:pos="340"/>
        </w:tabs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1.</w:t>
      </w:r>
      <w:r w:rsidRPr="00E3003C">
        <w:rPr>
          <w:rFonts w:ascii="Arial Narrow" w:eastAsia="Times New Roman" w:hAnsi="Arial Narrow"/>
          <w:sz w:val="24"/>
          <w:szCs w:val="24"/>
        </w:rPr>
        <w:tab/>
      </w:r>
      <w:r w:rsidRPr="00E3003C">
        <w:rPr>
          <w:rFonts w:ascii="Arial Narrow" w:eastAsia="Times New Roman" w:hAnsi="Arial Narrow"/>
          <w:b/>
          <w:sz w:val="24"/>
          <w:szCs w:val="24"/>
        </w:rPr>
        <w:t>Introduction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Pinnacle Forex &amp; Securities Private Limited (hereinafter referred to as the ‘Company’) was incorporated under Companies Act, 1956 as a Company and is SEBI registered broker of the BSE &amp; NSE.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MODEL CODE OF CONDUCT FOR PREVENTION OF INSIDER TRADING FOR OTHER ENTITIES (ENITITIES OTHER THAN LISTED ENTITIES)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1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Compliance Officer</w:t>
      </w:r>
    </w:p>
    <w:p w:rsidR="00E3003C" w:rsidRPr="00E3003C" w:rsidRDefault="00E3003C" w:rsidP="00E3003C">
      <w:pPr>
        <w:numPr>
          <w:ilvl w:val="0"/>
          <w:numId w:val="1"/>
        </w:numPr>
        <w:tabs>
          <w:tab w:val="left" w:pos="341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The organization/firm has a Compliance Officer (senior level employee) reporting to the Managing Partner/Chief Executive Officer.</w:t>
      </w:r>
    </w:p>
    <w:p w:rsidR="00E3003C" w:rsidRPr="00E3003C" w:rsidRDefault="00E3003C" w:rsidP="00E3003C">
      <w:pPr>
        <w:numPr>
          <w:ilvl w:val="0"/>
          <w:numId w:val="1"/>
        </w:numPr>
        <w:tabs>
          <w:tab w:val="left" w:pos="403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The Compliance Officer shall be responsible for setting forth policies and procedures and monitoring adherence to the rules for the preservation of “Price Sensitive Information”, pre-clearing of all designated employees and their dependents trades (directly or through respective department heads as decided by the organization/firm), monitoring of trades and the implementation of the code of conduct under the overall supervision of the partners/proprietors.</w:t>
      </w:r>
    </w:p>
    <w:p w:rsidR="00E3003C" w:rsidRPr="00E3003C" w:rsidRDefault="00E3003C" w:rsidP="00E3003C">
      <w:pPr>
        <w:numPr>
          <w:ilvl w:val="0"/>
          <w:numId w:val="1"/>
        </w:numPr>
        <w:tabs>
          <w:tab w:val="left" w:pos="370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The Compliance Officer shall also assist all the employees/directors/partners in addressing any clarifications regarding SEBI (Prohibition of Insider Trading) Regulations, 1992 and the organization/firm’s code of conduct.</w:t>
      </w:r>
    </w:p>
    <w:p w:rsidR="00E3003C" w:rsidRPr="00E3003C" w:rsidRDefault="00E3003C" w:rsidP="00E3003C">
      <w:pPr>
        <w:numPr>
          <w:ilvl w:val="0"/>
          <w:numId w:val="1"/>
        </w:numPr>
        <w:tabs>
          <w:tab w:val="left" w:pos="331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The Compliance Officer shall maintain a record of the designated employees and any changes made in the list of designated employees.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Preservation of “Price Sensitive Information”</w:t>
      </w:r>
    </w:p>
    <w:p w:rsidR="00E3003C" w:rsidRPr="00E3003C" w:rsidRDefault="00E3003C" w:rsidP="00E3003C">
      <w:pPr>
        <w:numPr>
          <w:ilvl w:val="0"/>
          <w:numId w:val="2"/>
        </w:numPr>
        <w:tabs>
          <w:tab w:val="left" w:pos="360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Employees/directors/partners shall maintain the confidentiality of all Price Sensitive Information. Employees/directors/partners must not pass on such information directly or indirectly by way of making a recommendation for the purchase 55[or] sale of securities.</w:t>
      </w:r>
    </w:p>
    <w:p w:rsidR="00E3003C" w:rsidRPr="00E3003C" w:rsidRDefault="00E3003C" w:rsidP="00E3003C">
      <w:pPr>
        <w:rPr>
          <w:rFonts w:ascii="Arial Narrow" w:eastAsia="Times New Roman" w:hAnsi="Arial Narrow"/>
          <w:b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Need to know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2.2-1 </w:t>
      </w:r>
      <w:r w:rsidRPr="00E3003C">
        <w:rPr>
          <w:rFonts w:ascii="Arial Narrow" w:eastAsia="Times New Roman" w:hAnsi="Arial Narrow"/>
          <w:sz w:val="24"/>
          <w:szCs w:val="24"/>
        </w:rPr>
        <w:t>Price Sensitive Information is to be handled on a “need to know” basis,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i/>
          <w:sz w:val="24"/>
          <w:szCs w:val="24"/>
        </w:rPr>
        <w:t>i.e.</w:t>
      </w:r>
      <w:r w:rsidRPr="00E3003C">
        <w:rPr>
          <w:rFonts w:ascii="Arial Narrow" w:eastAsia="Times New Roman" w:hAnsi="Arial Narrow"/>
          <w:sz w:val="24"/>
          <w:szCs w:val="24"/>
        </w:rPr>
        <w:t>, Price Sensitive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>Information should be disclosed only to those within the organization/firm who need the information to discharge their duty and whose possession of such information will not give rise to a conflict of interest or appearance of misuse of the information.</w:t>
      </w:r>
    </w:p>
    <w:p w:rsidR="00E3003C" w:rsidRPr="00E3003C" w:rsidRDefault="00E3003C" w:rsidP="00E3003C">
      <w:pPr>
        <w:rPr>
          <w:rFonts w:ascii="Arial Narrow" w:eastAsia="Times New Roman" w:hAnsi="Arial Narrow"/>
          <w:b/>
          <w:sz w:val="24"/>
          <w:szCs w:val="24"/>
        </w:rPr>
      </w:pPr>
    </w:p>
    <w:p w:rsidR="00E3003C" w:rsidRPr="00E3003C" w:rsidRDefault="00E3003C" w:rsidP="00E3003C">
      <w:pPr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2.3 Limited access to confidential information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2.3-1 </w:t>
      </w:r>
      <w:r w:rsidRPr="00E3003C">
        <w:rPr>
          <w:rFonts w:ascii="Arial Narrow" w:eastAsia="Times New Roman" w:hAnsi="Arial Narrow"/>
          <w:sz w:val="24"/>
          <w:szCs w:val="24"/>
        </w:rPr>
        <w:t>Files containing confidential information shall be kept secure. Computer files must have adequate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>security of login and password etc.</w:t>
      </w:r>
    </w:p>
    <w:p w:rsidR="00E3003C" w:rsidRPr="00E3003C" w:rsidRDefault="00E3003C" w:rsidP="00E3003C">
      <w:pPr>
        <w:rPr>
          <w:rFonts w:ascii="Arial Narrow" w:eastAsia="Times New Roman" w:hAnsi="Arial Narrow"/>
          <w:b/>
          <w:sz w:val="24"/>
          <w:szCs w:val="24"/>
        </w:rPr>
      </w:pPr>
    </w:p>
    <w:p w:rsidR="00E3003C" w:rsidRPr="00E3003C" w:rsidRDefault="00E3003C" w:rsidP="00E3003C">
      <w:pPr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2.4 Chinese Wall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2.4-1 </w:t>
      </w:r>
      <w:r w:rsidRPr="00E3003C">
        <w:rPr>
          <w:rFonts w:ascii="Arial Narrow" w:eastAsia="Times New Roman" w:hAnsi="Arial Narrow"/>
          <w:sz w:val="24"/>
          <w:szCs w:val="24"/>
        </w:rPr>
        <w:t>To prevent the misuse of confidential information the organization/firm shall adopt a “Chinese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 xml:space="preserve">Wall” policy which separates those areas of the organization/firm which routinely have access to confidential information, considered “inside areas” from those areas which deal with sale/marketing/investment </w:t>
      </w:r>
      <w:proofErr w:type="spellStart"/>
      <w:r w:rsidRPr="00E3003C">
        <w:rPr>
          <w:rFonts w:ascii="Arial Narrow" w:eastAsia="Times New Roman" w:hAnsi="Arial Narrow"/>
          <w:sz w:val="24"/>
          <w:szCs w:val="24"/>
        </w:rPr>
        <w:t>advise</w:t>
      </w:r>
      <w:proofErr w:type="spellEnd"/>
      <w:r w:rsidRPr="00E3003C">
        <w:rPr>
          <w:rFonts w:ascii="Arial Narrow" w:eastAsia="Times New Roman" w:hAnsi="Arial Narrow"/>
          <w:sz w:val="24"/>
          <w:szCs w:val="24"/>
        </w:rPr>
        <w:t xml:space="preserve"> or other departments providing support services, considered “public areas”.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2.4-2 </w:t>
      </w:r>
      <w:r w:rsidRPr="00E3003C">
        <w:rPr>
          <w:rFonts w:ascii="Arial Narrow" w:eastAsia="Times New Roman" w:hAnsi="Arial Narrow"/>
          <w:sz w:val="24"/>
          <w:szCs w:val="24"/>
        </w:rPr>
        <w:t>The employees in the inside area shall not communicate any Price Sensitive Information to any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>one in public area.</w:t>
      </w:r>
    </w:p>
    <w:p w:rsidR="00A24DA8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2.4-3 </w:t>
      </w:r>
      <w:r w:rsidRPr="00E3003C">
        <w:rPr>
          <w:rFonts w:ascii="Arial Narrow" w:eastAsia="Times New Roman" w:hAnsi="Arial Narrow"/>
          <w:sz w:val="24"/>
          <w:szCs w:val="24"/>
        </w:rPr>
        <w:t>The employees in inside area may be physically segregated from employees in public area.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2.4-4 </w:t>
      </w:r>
      <w:r w:rsidRPr="00E3003C">
        <w:rPr>
          <w:rFonts w:ascii="Arial Narrow" w:eastAsia="Times New Roman" w:hAnsi="Arial Narrow"/>
          <w:sz w:val="24"/>
          <w:szCs w:val="24"/>
        </w:rPr>
        <w:t>Demarcation of the various departments as inside area may be implemented by the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>organization/firm.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2.4-5 </w:t>
      </w:r>
      <w:r w:rsidRPr="00E3003C">
        <w:rPr>
          <w:rFonts w:ascii="Arial Narrow" w:eastAsia="Times New Roman" w:hAnsi="Arial Narrow"/>
          <w:sz w:val="24"/>
          <w:szCs w:val="24"/>
        </w:rPr>
        <w:t>In exceptional circumstances employees from the public areas may be brought “over the wall”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>and given confidential information on the basis of “need to know” criteria, under intimation to the compliance officer.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3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Prevention of misuse of Price Sensitive Information</w:t>
      </w:r>
    </w:p>
    <w:p w:rsidR="00E3003C" w:rsidRPr="00E3003C" w:rsidRDefault="00E3003C" w:rsidP="00E3003C">
      <w:pPr>
        <w:numPr>
          <w:ilvl w:val="0"/>
          <w:numId w:val="3"/>
        </w:numPr>
        <w:tabs>
          <w:tab w:val="left" w:pos="355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Employees/directors/partners shall not use Price Sensitive Information to buy or sell securities of any sort, whether for their own account, their relative’s account, organization/firm’s account or a client’s account. The following trading restrictions shall apply for trading in securities.</w:t>
      </w:r>
    </w:p>
    <w:p w:rsidR="00E3003C" w:rsidRPr="00E3003C" w:rsidRDefault="00E3003C" w:rsidP="00E3003C">
      <w:pPr>
        <w:rPr>
          <w:rFonts w:ascii="Arial Narrow" w:eastAsia="Times New Roman" w:hAnsi="Arial Narrow"/>
          <w:b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3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lastRenderedPageBreak/>
        <w:t>Pre-clearance of trades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3.2-1 </w:t>
      </w:r>
      <w:r w:rsidRPr="00E3003C">
        <w:rPr>
          <w:rFonts w:ascii="Arial Narrow" w:eastAsia="Times New Roman" w:hAnsi="Arial Narrow"/>
          <w:sz w:val="24"/>
          <w:szCs w:val="24"/>
        </w:rPr>
        <w:t>All directors/officers/designated employees of the organization/firm who intend to deal in the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 xml:space="preserve">securities of the client company (above a minimum threshold limit to be determined by the organization/firm) shall pre-clear the transactions as per the </w:t>
      </w:r>
      <w:proofErr w:type="spellStart"/>
      <w:r w:rsidRPr="00E3003C">
        <w:rPr>
          <w:rFonts w:ascii="Arial Narrow" w:eastAsia="Times New Roman" w:hAnsi="Arial Narrow"/>
          <w:sz w:val="24"/>
          <w:szCs w:val="24"/>
        </w:rPr>
        <w:t>predealing</w:t>
      </w:r>
      <w:proofErr w:type="spellEnd"/>
      <w:r w:rsidRPr="00E3003C">
        <w:rPr>
          <w:rFonts w:ascii="Arial Narrow" w:eastAsia="Times New Roman" w:hAnsi="Arial Narrow"/>
          <w:sz w:val="24"/>
          <w:szCs w:val="24"/>
        </w:rPr>
        <w:t xml:space="preserve"> procedure as described hereunder.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3.2-2 </w:t>
      </w:r>
      <w:r w:rsidRPr="00E3003C">
        <w:rPr>
          <w:rFonts w:ascii="Arial Narrow" w:eastAsia="Times New Roman" w:hAnsi="Arial Narrow"/>
          <w:sz w:val="24"/>
          <w:szCs w:val="24"/>
        </w:rPr>
        <w:t>An application may be made in such form as the organization/firm may specify in 56[this] regard,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>to the Compliance Officer indicating the name and estimated number of securities that the designated employees/director/partner intends to deal in, the details as to the depository with which he has a security account the details as to the securities in such depository mode and such other details as may be required by any rule made by the organization/firm in this behalf.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 xml:space="preserve">3.2-3 </w:t>
      </w:r>
      <w:r w:rsidRPr="00E3003C">
        <w:rPr>
          <w:rFonts w:ascii="Arial Narrow" w:eastAsia="Times New Roman" w:hAnsi="Arial Narrow"/>
          <w:sz w:val="24"/>
          <w:szCs w:val="24"/>
        </w:rPr>
        <w:t>An undertaking shall be executed in favor of the organization/firm by such designated</w:t>
      </w:r>
      <w:r w:rsidRPr="00E3003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E3003C">
        <w:rPr>
          <w:rFonts w:ascii="Arial Narrow" w:eastAsia="Times New Roman" w:hAnsi="Arial Narrow"/>
          <w:sz w:val="24"/>
          <w:szCs w:val="24"/>
        </w:rPr>
        <w:t xml:space="preserve">employee/partners/directors incorporating, </w:t>
      </w:r>
      <w:r w:rsidRPr="00E3003C">
        <w:rPr>
          <w:rFonts w:ascii="Arial Narrow" w:eastAsia="Times New Roman" w:hAnsi="Arial Narrow"/>
          <w:i/>
          <w:sz w:val="24"/>
          <w:szCs w:val="24"/>
        </w:rPr>
        <w:t>inter alia</w:t>
      </w:r>
      <w:r w:rsidRPr="00E3003C">
        <w:rPr>
          <w:rFonts w:ascii="Arial Narrow" w:eastAsia="Times New Roman" w:hAnsi="Arial Narrow"/>
          <w:sz w:val="24"/>
          <w:szCs w:val="24"/>
        </w:rPr>
        <w:t>, the following clauses, as may be applicable: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(</w:t>
      </w:r>
      <w:proofErr w:type="spellStart"/>
      <w:r w:rsidRPr="00E3003C">
        <w:rPr>
          <w:rFonts w:ascii="Arial Narrow" w:eastAsia="Times New Roman" w:hAnsi="Arial Narrow"/>
          <w:i/>
          <w:sz w:val="24"/>
          <w:szCs w:val="24"/>
        </w:rPr>
        <w:t>i</w:t>
      </w:r>
      <w:proofErr w:type="spellEnd"/>
      <w:r w:rsidRPr="00E3003C">
        <w:rPr>
          <w:rFonts w:ascii="Arial Narrow" w:eastAsia="Times New Roman" w:hAnsi="Arial Narrow"/>
          <w:sz w:val="24"/>
          <w:szCs w:val="24"/>
        </w:rPr>
        <w:t xml:space="preserve">) That the designated employee/director/partner does not have any access or has not received any “Price Sensitive Information” </w:t>
      </w:r>
      <w:proofErr w:type="spellStart"/>
      <w:r w:rsidRPr="00E3003C">
        <w:rPr>
          <w:rFonts w:ascii="Arial Narrow" w:eastAsia="Times New Roman" w:hAnsi="Arial Narrow"/>
          <w:sz w:val="24"/>
          <w:szCs w:val="24"/>
        </w:rPr>
        <w:t>upto</w:t>
      </w:r>
      <w:proofErr w:type="spellEnd"/>
      <w:r w:rsidRPr="00E3003C">
        <w:rPr>
          <w:rFonts w:ascii="Arial Narrow" w:eastAsia="Times New Roman" w:hAnsi="Arial Narrow"/>
          <w:sz w:val="24"/>
          <w:szCs w:val="24"/>
        </w:rPr>
        <w:t xml:space="preserve"> the time of signing the undertaking.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(</w:t>
      </w:r>
      <w:r w:rsidRPr="00E3003C">
        <w:rPr>
          <w:rFonts w:ascii="Arial Narrow" w:eastAsia="Times New Roman" w:hAnsi="Arial Narrow"/>
          <w:i/>
          <w:sz w:val="24"/>
          <w:szCs w:val="24"/>
        </w:rPr>
        <w:t>ii</w:t>
      </w:r>
      <w:r w:rsidRPr="00E3003C">
        <w:rPr>
          <w:rFonts w:ascii="Arial Narrow" w:eastAsia="Times New Roman" w:hAnsi="Arial Narrow"/>
          <w:sz w:val="24"/>
          <w:szCs w:val="24"/>
        </w:rPr>
        <w:t>) That in case the designated employee/director/partner has access to or receives “Price Sensitive Information” after the signing of the undertaking but before the execution of the transaction he/she shall inform the Compliance Officer of the change in his position and that he/she would completely refrain from dealing in the securities of the client company till the time such information becomes public.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(</w:t>
      </w:r>
      <w:proofErr w:type="gramStart"/>
      <w:r w:rsidRPr="00E3003C">
        <w:rPr>
          <w:rFonts w:ascii="Arial Narrow" w:eastAsia="Times New Roman" w:hAnsi="Arial Narrow"/>
          <w:i/>
          <w:sz w:val="24"/>
          <w:szCs w:val="24"/>
        </w:rPr>
        <w:t>iii</w:t>
      </w:r>
      <w:r w:rsidRPr="00E3003C">
        <w:rPr>
          <w:rFonts w:ascii="Arial Narrow" w:eastAsia="Times New Roman" w:hAnsi="Arial Narrow"/>
          <w:sz w:val="24"/>
          <w:szCs w:val="24"/>
        </w:rPr>
        <w:t xml:space="preserve"> )</w:t>
      </w:r>
      <w:proofErr w:type="gramEnd"/>
      <w:r w:rsidRPr="00E3003C">
        <w:rPr>
          <w:rFonts w:ascii="Arial Narrow" w:eastAsia="Times New Roman" w:hAnsi="Arial Narrow"/>
          <w:sz w:val="24"/>
          <w:szCs w:val="24"/>
        </w:rPr>
        <w:t xml:space="preserve"> That he/she has not contravened the code of conduct for prevention of insider trading as specified by the organization/firm from time to time.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(</w:t>
      </w:r>
      <w:r w:rsidRPr="00E3003C">
        <w:rPr>
          <w:rFonts w:ascii="Arial Narrow" w:eastAsia="Times New Roman" w:hAnsi="Arial Narrow"/>
          <w:i/>
          <w:sz w:val="24"/>
          <w:szCs w:val="24"/>
        </w:rPr>
        <w:t>iv</w:t>
      </w:r>
      <w:r w:rsidRPr="00E3003C">
        <w:rPr>
          <w:rFonts w:ascii="Arial Narrow" w:eastAsia="Times New Roman" w:hAnsi="Arial Narrow"/>
          <w:sz w:val="24"/>
          <w:szCs w:val="24"/>
        </w:rPr>
        <w:t>) That he/she has made a full and true disclosure in the matter.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4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Restricted/Grey list</w:t>
      </w:r>
    </w:p>
    <w:p w:rsidR="00E3003C" w:rsidRPr="00E3003C" w:rsidRDefault="00E3003C" w:rsidP="00E3003C">
      <w:pPr>
        <w:numPr>
          <w:ilvl w:val="0"/>
          <w:numId w:val="4"/>
        </w:numPr>
        <w:tabs>
          <w:tab w:val="left" w:pos="394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 xml:space="preserve">In order to monitor </w:t>
      </w:r>
      <w:proofErr w:type="spellStart"/>
      <w:r w:rsidRPr="00E3003C">
        <w:rPr>
          <w:rFonts w:ascii="Arial Narrow" w:eastAsia="Times New Roman" w:hAnsi="Arial Narrow"/>
          <w:sz w:val="24"/>
          <w:szCs w:val="24"/>
        </w:rPr>
        <w:t>chinese</w:t>
      </w:r>
      <w:proofErr w:type="spellEnd"/>
      <w:r w:rsidRPr="00E3003C">
        <w:rPr>
          <w:rFonts w:ascii="Arial Narrow" w:eastAsia="Times New Roman" w:hAnsi="Arial Narrow"/>
          <w:sz w:val="24"/>
          <w:szCs w:val="24"/>
        </w:rPr>
        <w:t xml:space="preserve"> wall procedures and trading in client securities based on inside information, the organization/firm shall restrict trading in certain securities and designate such list as restricted/grey list.</w:t>
      </w:r>
    </w:p>
    <w:p w:rsidR="00E3003C" w:rsidRPr="00E3003C" w:rsidRDefault="00E3003C" w:rsidP="00E3003C">
      <w:pPr>
        <w:numPr>
          <w:ilvl w:val="0"/>
          <w:numId w:val="4"/>
        </w:numPr>
        <w:tabs>
          <w:tab w:val="left" w:pos="374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Security of a listed company shall be put on the restricted/grey list if the organization/firm is handling any assignment for the listed company or is preparing appraisal report or is handling credit rating assignment and is privy to Price Sensitive Information.</w:t>
      </w:r>
    </w:p>
    <w:p w:rsidR="00E3003C" w:rsidRPr="00E3003C" w:rsidRDefault="00E3003C" w:rsidP="00E3003C">
      <w:pPr>
        <w:numPr>
          <w:ilvl w:val="0"/>
          <w:numId w:val="4"/>
        </w:numPr>
        <w:tabs>
          <w:tab w:val="left" w:pos="355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Any security which is being purchased or sold or is being considered for purchase or sale by the organization/firm on behalf of its clients/schemes of mutual funds, etc. shall be put on the restricted/grey list.</w:t>
      </w:r>
    </w:p>
    <w:p w:rsidR="00E3003C" w:rsidRPr="00E3003C" w:rsidRDefault="00E3003C" w:rsidP="00E3003C">
      <w:pPr>
        <w:numPr>
          <w:ilvl w:val="0"/>
          <w:numId w:val="4"/>
        </w:numPr>
        <w:tabs>
          <w:tab w:val="left" w:pos="346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As the restricted list itself is highly confidential information it shall not be communicated directly, or indirectly to anyone outside the organization/firm. The Restricted List shall be maintained by Compliance Officer.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When any securities are on the Restricted List-trading in these securities by designated employees/directors/partners may 57[be] blocked or may be disallowed at the time of pre-clearance.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5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Other restrictions</w:t>
      </w:r>
    </w:p>
    <w:p w:rsidR="00E3003C" w:rsidRPr="00E3003C" w:rsidRDefault="00E3003C" w:rsidP="00E3003C">
      <w:pPr>
        <w:numPr>
          <w:ilvl w:val="0"/>
          <w:numId w:val="5"/>
        </w:numPr>
        <w:tabs>
          <w:tab w:val="left" w:pos="374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 xml:space="preserve">All directors/designated employees/partners shall execute their order within one week after the approval of pre-clearance is given. If the order is not executed within one week after approval is given the employee/director/partners must 58[pre] clear the transaction again. </w:t>
      </w:r>
    </w:p>
    <w:p w:rsidR="00E3003C" w:rsidRPr="00E3003C" w:rsidRDefault="00E3003C" w:rsidP="00E3003C">
      <w:pPr>
        <w:numPr>
          <w:ilvl w:val="0"/>
          <w:numId w:val="5"/>
        </w:numPr>
        <w:tabs>
          <w:tab w:val="left" w:pos="374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All directors/officers/designated employees/partners shall hold their investments for a minimum period of 30 days in order to be considered as being held for investment purposes.</w:t>
      </w:r>
    </w:p>
    <w:p w:rsidR="00E3003C" w:rsidRPr="00E3003C" w:rsidRDefault="00E3003C" w:rsidP="00E3003C">
      <w:pPr>
        <w:numPr>
          <w:ilvl w:val="0"/>
          <w:numId w:val="6"/>
        </w:numPr>
        <w:tabs>
          <w:tab w:val="left" w:pos="336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The holding period shall also apply to purchases in the primary market (IPOs). In the case of IPOs, the holding period would commence when the securities are actually allotted.</w:t>
      </w:r>
    </w:p>
    <w:p w:rsidR="00E3003C" w:rsidRPr="00E3003C" w:rsidRDefault="00E3003C" w:rsidP="00E3003C">
      <w:pPr>
        <w:numPr>
          <w:ilvl w:val="0"/>
          <w:numId w:val="6"/>
        </w:numPr>
        <w:tabs>
          <w:tab w:val="left" w:pos="370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In case the sale of securities is necessitated by personal emergency, the holding period may be waived by the Compliance Officer after recording in writing his/her reasons in this regard.</w:t>
      </w:r>
    </w:p>
    <w:p w:rsidR="00E3003C" w:rsidRPr="00E3003C" w:rsidRDefault="00E3003C" w:rsidP="00E3003C">
      <w:pPr>
        <w:numPr>
          <w:ilvl w:val="0"/>
          <w:numId w:val="6"/>
        </w:numPr>
        <w:tabs>
          <w:tab w:val="left" w:pos="355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Analysts, if any, employed with the organization/firm while preparing research reports of a client company(s) shall disclose their shareholdings/interest in such company(s) to the Compliance Officer.</w:t>
      </w:r>
    </w:p>
    <w:p w:rsidR="00E3003C" w:rsidRPr="00E3003C" w:rsidRDefault="00E3003C" w:rsidP="00E3003C">
      <w:pPr>
        <w:numPr>
          <w:ilvl w:val="0"/>
          <w:numId w:val="6"/>
        </w:numPr>
        <w:tabs>
          <w:tab w:val="left" w:pos="379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Analysts who prepare research report of a listed company shall not trade in securities of that company for thirty days from preparation of such report.</w:t>
      </w:r>
    </w:p>
    <w:p w:rsid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7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lastRenderedPageBreak/>
        <w:t>Reporting Requirements for transactions in securities</w:t>
      </w:r>
    </w:p>
    <w:p w:rsidR="00E3003C" w:rsidRPr="00E3003C" w:rsidRDefault="00E3003C" w:rsidP="00E3003C">
      <w:pPr>
        <w:numPr>
          <w:ilvl w:val="0"/>
          <w:numId w:val="7"/>
        </w:numPr>
        <w:tabs>
          <w:tab w:val="left" w:pos="365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All directors/designated employees/partners of the organization/firm shall be required to forward following details of their securities transactions including the statement of dependent family members (as defined by the organization/firm) to the Compliance Officer:—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(</w:t>
      </w:r>
      <w:r w:rsidRPr="00E3003C">
        <w:rPr>
          <w:rFonts w:ascii="Arial Narrow" w:eastAsia="Times New Roman" w:hAnsi="Arial Narrow"/>
          <w:i/>
          <w:sz w:val="24"/>
          <w:szCs w:val="24"/>
        </w:rPr>
        <w:t>a</w:t>
      </w:r>
      <w:r w:rsidRPr="00E3003C">
        <w:rPr>
          <w:rFonts w:ascii="Arial Narrow" w:eastAsia="Times New Roman" w:hAnsi="Arial Narrow"/>
          <w:sz w:val="24"/>
          <w:szCs w:val="24"/>
        </w:rPr>
        <w:t>) all holdings in securities by directors/officers/designated employees/partners at the time of joining the organization;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(</w:t>
      </w:r>
      <w:r w:rsidRPr="00E3003C">
        <w:rPr>
          <w:rFonts w:ascii="Arial Narrow" w:eastAsia="Times New Roman" w:hAnsi="Arial Narrow"/>
          <w:i/>
          <w:sz w:val="24"/>
          <w:szCs w:val="24"/>
        </w:rPr>
        <w:t>b</w:t>
      </w:r>
      <w:r w:rsidRPr="00E3003C">
        <w:rPr>
          <w:rFonts w:ascii="Arial Narrow" w:eastAsia="Times New Roman" w:hAnsi="Arial Narrow"/>
          <w:sz w:val="24"/>
          <w:szCs w:val="24"/>
        </w:rPr>
        <w:t>) periodic statement of any transactions in securities (the periodicity of reporting may be defined by the firm or organization. The organization/firm may also be free to decide whether reporting is required for trades where pre-clearance is also required;</w:t>
      </w:r>
    </w:p>
    <w:p w:rsidR="00E3003C" w:rsidRPr="00E3003C" w:rsidRDefault="00E3003C" w:rsidP="00E3003C">
      <w:pPr>
        <w:jc w:val="both"/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(</w:t>
      </w:r>
      <w:r w:rsidRPr="00E3003C">
        <w:rPr>
          <w:rFonts w:ascii="Arial Narrow" w:eastAsia="Times New Roman" w:hAnsi="Arial Narrow"/>
          <w:i/>
          <w:sz w:val="24"/>
          <w:szCs w:val="24"/>
        </w:rPr>
        <w:t>c</w:t>
      </w:r>
      <w:r w:rsidRPr="00E3003C">
        <w:rPr>
          <w:rFonts w:ascii="Arial Narrow" w:eastAsia="Times New Roman" w:hAnsi="Arial Narrow"/>
          <w:sz w:val="24"/>
          <w:szCs w:val="24"/>
        </w:rPr>
        <w:t>) annual statement of all holdings in securities.</w:t>
      </w:r>
    </w:p>
    <w:p w:rsidR="00E3003C" w:rsidRPr="00E3003C" w:rsidRDefault="00E3003C" w:rsidP="00E3003C">
      <w:pPr>
        <w:numPr>
          <w:ilvl w:val="0"/>
          <w:numId w:val="7"/>
        </w:numPr>
        <w:tabs>
          <w:tab w:val="left" w:pos="451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The Compliance Officer shall maintain records of all the declarations given by the directors/designated employees/partners in the appropriate form for a minimum period of three years.</w:t>
      </w:r>
    </w:p>
    <w:p w:rsidR="00E3003C" w:rsidRPr="00E3003C" w:rsidRDefault="00E3003C" w:rsidP="00E3003C">
      <w:pPr>
        <w:numPr>
          <w:ilvl w:val="0"/>
          <w:numId w:val="7"/>
        </w:numPr>
        <w:tabs>
          <w:tab w:val="left" w:pos="370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The Compliance Officer shall place before the Chief Executive Officer/Partner or a committee notified by the organization/firm, on a monthly basis all the details of the dealing in the securities by designated employees/directors/partners of the organization/firm and the accompanying documents that such persons had executed under the pre-dealing procedure as envisaged in this code.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8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Penalty for contravention of code of conduct</w:t>
      </w:r>
    </w:p>
    <w:p w:rsidR="00E3003C" w:rsidRPr="00E3003C" w:rsidRDefault="00E3003C" w:rsidP="00E3003C">
      <w:pPr>
        <w:numPr>
          <w:ilvl w:val="0"/>
          <w:numId w:val="8"/>
        </w:numPr>
        <w:tabs>
          <w:tab w:val="left" w:pos="398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 xml:space="preserve">Any employee/partner/director who trades in securities or communicates any information or counsels any person trading in securities, in contravention of the code of conduct may be </w:t>
      </w:r>
      <w:proofErr w:type="spellStart"/>
      <w:r w:rsidRPr="00E3003C">
        <w:rPr>
          <w:rFonts w:ascii="Arial Narrow" w:eastAsia="Times New Roman" w:hAnsi="Arial Narrow"/>
          <w:sz w:val="24"/>
          <w:szCs w:val="24"/>
        </w:rPr>
        <w:t>penalised</w:t>
      </w:r>
      <w:proofErr w:type="spellEnd"/>
      <w:r w:rsidRPr="00E3003C">
        <w:rPr>
          <w:rFonts w:ascii="Arial Narrow" w:eastAsia="Times New Roman" w:hAnsi="Arial Narrow"/>
          <w:sz w:val="24"/>
          <w:szCs w:val="24"/>
        </w:rPr>
        <w:t xml:space="preserve"> and appropriate action may be taken by the organization/firm.</w:t>
      </w:r>
    </w:p>
    <w:p w:rsidR="00E3003C" w:rsidRPr="00E3003C" w:rsidRDefault="00E3003C" w:rsidP="00E3003C">
      <w:pPr>
        <w:numPr>
          <w:ilvl w:val="0"/>
          <w:numId w:val="8"/>
        </w:numPr>
        <w:tabs>
          <w:tab w:val="left" w:pos="346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Employees/partners/directors of the organization/firm who violate the code of conduct may also be subject to disciplinary action by the company, which may include wage freeze, suspension, etc.</w:t>
      </w:r>
    </w:p>
    <w:p w:rsidR="00E3003C" w:rsidRPr="00E3003C" w:rsidRDefault="00E3003C" w:rsidP="00E3003C">
      <w:pPr>
        <w:numPr>
          <w:ilvl w:val="0"/>
          <w:numId w:val="8"/>
        </w:numPr>
        <w:tabs>
          <w:tab w:val="left" w:pos="370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The action by the organization/firm shall not preclude SEBI from taking any action in case of violation of SEBI (Prohibition of Insider Trading) Regulations, 1992.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9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Information to SEBI in case of violation of SEBI (Prohibition of Insider Trading) Regulations</w:t>
      </w:r>
    </w:p>
    <w:p w:rsidR="00E3003C" w:rsidRPr="00E3003C" w:rsidRDefault="00E3003C" w:rsidP="00E3003C">
      <w:pPr>
        <w:numPr>
          <w:ilvl w:val="0"/>
          <w:numId w:val="9"/>
        </w:numPr>
        <w:tabs>
          <w:tab w:val="left" w:pos="346"/>
        </w:tabs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>In case it is observed by the organization/firm/compliance officer that there has been a violation of these Regulations, SEBI shall be informed by the organization/firm.</w:t>
      </w:r>
    </w:p>
    <w:p w:rsidR="00E3003C" w:rsidRP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</w:p>
    <w:p w:rsidR="00E3003C" w:rsidRPr="00E3003C" w:rsidRDefault="00E3003C" w:rsidP="00E3003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Arial Narrow" w:eastAsia="Times New Roman" w:hAnsi="Arial Narrow"/>
          <w:b/>
          <w:sz w:val="24"/>
          <w:szCs w:val="24"/>
        </w:rPr>
      </w:pPr>
      <w:r w:rsidRPr="00E3003C">
        <w:rPr>
          <w:rFonts w:ascii="Arial Narrow" w:eastAsia="Times New Roman" w:hAnsi="Arial Narrow"/>
          <w:b/>
          <w:sz w:val="24"/>
          <w:szCs w:val="24"/>
        </w:rPr>
        <w:t>Listed intermediaries to comply with both Parts A and B of Schedule I</w:t>
      </w:r>
    </w:p>
    <w:p w:rsidR="00E3003C" w:rsidRDefault="00E3003C" w:rsidP="00E3003C">
      <w:pPr>
        <w:rPr>
          <w:rFonts w:ascii="Arial Narrow" w:eastAsia="Times New Roman" w:hAnsi="Arial Narrow"/>
          <w:sz w:val="24"/>
          <w:szCs w:val="24"/>
        </w:rPr>
      </w:pPr>
      <w:r w:rsidRPr="00E3003C">
        <w:rPr>
          <w:rFonts w:ascii="Arial Narrow" w:eastAsia="Times New Roman" w:hAnsi="Arial Narrow"/>
          <w:sz w:val="24"/>
          <w:szCs w:val="24"/>
        </w:rPr>
        <w:t xml:space="preserve">The intermediaries such as credit rating agencies, Asset Management Companies, or broking companies etc. whose securities are listed in </w:t>
      </w:r>
      <w:proofErr w:type="spellStart"/>
      <w:r w:rsidRPr="00E3003C">
        <w:rPr>
          <w:rFonts w:ascii="Arial Narrow" w:eastAsia="Times New Roman" w:hAnsi="Arial Narrow"/>
          <w:sz w:val="24"/>
          <w:szCs w:val="24"/>
        </w:rPr>
        <w:t>recognised</w:t>
      </w:r>
      <w:proofErr w:type="spellEnd"/>
      <w:r w:rsidRPr="00E3003C">
        <w:rPr>
          <w:rFonts w:ascii="Arial Narrow" w:eastAsia="Times New Roman" w:hAnsi="Arial Narrow"/>
          <w:sz w:val="24"/>
          <w:szCs w:val="24"/>
        </w:rPr>
        <w:t xml:space="preserve"> stock exchange shall comply with both Part A and Part B of this Schedule in respect of its own securities and client’s securities.</w:t>
      </w:r>
    </w:p>
    <w:p w:rsidR="00E3003C" w:rsidRDefault="00E3003C" w:rsidP="00E3003C">
      <w:pPr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A772F" w:rsidTr="005A772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2F" w:rsidRDefault="005A772F">
            <w:pPr>
              <w:jc w:val="both"/>
              <w:rPr>
                <w:rFonts w:ascii="Arial Narrow" w:eastAsia="Times New Roman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2F" w:rsidRDefault="005A772F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Arial Narrow" w:hAnsi="Arial Narrow"/>
                <w:color w:val="000000"/>
                <w:shd w:val="clear" w:color="auto" w:fill="FFFFFF"/>
              </w:rPr>
              <w:t>Mehul</w:t>
            </w:r>
            <w:proofErr w:type="spellEnd"/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 Prakash </w:t>
            </w:r>
            <w:proofErr w:type="spellStart"/>
            <w:r>
              <w:rPr>
                <w:rFonts w:ascii="Arial Narrow" w:hAnsi="Arial Narrow"/>
                <w:color w:val="000000"/>
                <w:shd w:val="clear" w:color="auto" w:fill="FFFFFF"/>
              </w:rPr>
              <w:t>Bhadra</w:t>
            </w:r>
            <w:proofErr w:type="spellEnd"/>
          </w:p>
        </w:tc>
      </w:tr>
      <w:tr w:rsidR="005A772F" w:rsidTr="005A772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2F" w:rsidRDefault="005A772F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2F" w:rsidRDefault="005A772F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Mr. Arvind </w:t>
            </w:r>
            <w:proofErr w:type="spellStart"/>
            <w:r>
              <w:rPr>
                <w:rFonts w:ascii="Arial Narrow" w:hAnsi="Arial Narrow"/>
                <w:color w:val="000000"/>
                <w:shd w:val="clear" w:color="auto" w:fill="FFFFFF"/>
              </w:rPr>
              <w:t>Vinchhivora</w:t>
            </w:r>
            <w:proofErr w:type="spellEnd"/>
          </w:p>
        </w:tc>
      </w:tr>
      <w:tr w:rsidR="005A772F" w:rsidTr="005A772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2F" w:rsidRDefault="005A772F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2F" w:rsidRDefault="005A772F" w:rsidP="00A226D2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April 1</w:t>
            </w:r>
            <w:r w:rsidR="00A226D2">
              <w:rPr>
                <w:rFonts w:ascii="Arial Narrow" w:hAnsi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t>, 202</w:t>
            </w:r>
            <w:r w:rsidR="00A226D2">
              <w:rPr>
                <w:rFonts w:ascii="Arial Narrow" w:hAnsi="Arial Narrow"/>
                <w:color w:val="000000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  <w:tr w:rsidR="005A772F" w:rsidTr="005A772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2F" w:rsidRDefault="005A772F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2F" w:rsidRDefault="005A772F">
            <w:pPr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Pinnacle Forex &amp; Securities </w:t>
            </w:r>
            <w:proofErr w:type="spellStart"/>
            <w:r>
              <w:rPr>
                <w:rFonts w:ascii="Arial Narrow" w:hAnsi="Arial Narrow"/>
                <w:color w:val="000000"/>
                <w:shd w:val="clear" w:color="auto" w:fill="FFFFFF"/>
              </w:rPr>
              <w:t>Pvt</w:t>
            </w:r>
            <w:proofErr w:type="spellEnd"/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 Ltd</w:t>
            </w:r>
          </w:p>
        </w:tc>
      </w:tr>
    </w:tbl>
    <w:p w:rsidR="005A772F" w:rsidRPr="00E3003C" w:rsidRDefault="005A772F" w:rsidP="00E3003C">
      <w:pPr>
        <w:rPr>
          <w:rFonts w:ascii="Arial Narrow" w:hAnsi="Arial Narrow"/>
          <w:b/>
          <w:sz w:val="24"/>
          <w:szCs w:val="24"/>
        </w:rPr>
      </w:pPr>
    </w:p>
    <w:sectPr w:rsidR="005A772F" w:rsidRPr="00E3003C" w:rsidSect="00E3003C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FFFFFFFF"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numFmt w:val="decimal"/>
      <w:lvlText w:val="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numFmt w:val="decimal"/>
      <w:lvlText w:val="4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start w:val="3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numFmt w:val="decimal"/>
      <w:lvlText w:val="6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numFmt w:val="decimal"/>
      <w:lvlText w:val="9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03C"/>
    <w:rsid w:val="004308ED"/>
    <w:rsid w:val="005A772F"/>
    <w:rsid w:val="009A015A"/>
    <w:rsid w:val="00A226D2"/>
    <w:rsid w:val="00A24DA8"/>
    <w:rsid w:val="00E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5E0B"/>
  <w15:docId w15:val="{05438750-3794-4EA6-9FA3-35B51A07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1550</Words>
  <Characters>8840</Characters>
  <Application>Microsoft Office Word</Application>
  <DocSecurity>0</DocSecurity>
  <Lines>73</Lines>
  <Paragraphs>20</Paragraphs>
  <ScaleCrop>false</ScaleCrop>
  <Company>by adguard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Waghole</dc:creator>
  <cp:lastModifiedBy>Prashant W</cp:lastModifiedBy>
  <cp:revision>3</cp:revision>
  <dcterms:created xsi:type="dcterms:W3CDTF">2016-12-14T07:17:00Z</dcterms:created>
  <dcterms:modified xsi:type="dcterms:W3CDTF">2024-08-12T08:17:00Z</dcterms:modified>
</cp:coreProperties>
</file>