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5D" w:rsidRPr="00CD1DB1" w:rsidRDefault="00F95A94" w:rsidP="00391D66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F95A94">
        <w:rPr>
          <w:rFonts w:ascii="Arial Narrow" w:hAnsi="Arial Narrow"/>
          <w:b/>
          <w:sz w:val="36"/>
          <w:szCs w:val="36"/>
        </w:rPr>
        <w:t>Policy</w:t>
      </w:r>
      <w:r w:rsidR="00B0115B">
        <w:rPr>
          <w:rFonts w:ascii="Arial Narrow" w:hAnsi="Arial Narrow"/>
          <w:b/>
          <w:sz w:val="36"/>
          <w:szCs w:val="36"/>
        </w:rPr>
        <w:t xml:space="preserve"> </w:t>
      </w:r>
      <w:r w:rsidRPr="00F95A94">
        <w:rPr>
          <w:rFonts w:ascii="Arial Narrow" w:hAnsi="Arial Narrow"/>
          <w:b/>
          <w:sz w:val="36"/>
          <w:szCs w:val="36"/>
        </w:rPr>
        <w:t>for</w:t>
      </w:r>
      <w:r w:rsidR="00B0115B">
        <w:rPr>
          <w:rFonts w:ascii="Arial Narrow" w:hAnsi="Arial Narrow"/>
          <w:b/>
          <w:sz w:val="36"/>
          <w:szCs w:val="36"/>
        </w:rPr>
        <w:t xml:space="preserve"> </w:t>
      </w:r>
      <w:r w:rsidRPr="00F95A94">
        <w:rPr>
          <w:rFonts w:ascii="Arial Narrow" w:hAnsi="Arial Narrow"/>
          <w:b/>
          <w:sz w:val="36"/>
          <w:szCs w:val="36"/>
        </w:rPr>
        <w:t>Internal</w:t>
      </w:r>
      <w:r w:rsidR="00B0115B">
        <w:rPr>
          <w:rFonts w:ascii="Arial Narrow" w:hAnsi="Arial Narrow"/>
          <w:b/>
          <w:sz w:val="36"/>
          <w:szCs w:val="36"/>
        </w:rPr>
        <w:t xml:space="preserve"> </w:t>
      </w:r>
      <w:r w:rsidRPr="00F95A94">
        <w:rPr>
          <w:rFonts w:ascii="Arial Narrow" w:hAnsi="Arial Narrow"/>
          <w:b/>
          <w:sz w:val="36"/>
          <w:szCs w:val="36"/>
        </w:rPr>
        <w:t>Shortages</w:t>
      </w:r>
    </w:p>
    <w:p w:rsidR="00D91C48" w:rsidRPr="00391D66" w:rsidRDefault="00D91C48" w:rsidP="00391D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F95A94" w:rsidRDefault="00F95A94" w:rsidP="00391D66">
      <w:pPr>
        <w:autoSpaceDE w:val="0"/>
        <w:autoSpaceDN w:val="0"/>
        <w:adjustRightInd w:val="0"/>
        <w:spacing w:after="0"/>
        <w:jc w:val="both"/>
        <w:rPr>
          <w:rStyle w:val="fontstyle01"/>
          <w:rFonts w:ascii="Arial Narrow" w:hAnsi="Arial Narrow"/>
          <w:sz w:val="24"/>
          <w:szCs w:val="24"/>
        </w:rPr>
      </w:pPr>
      <w:r w:rsidRPr="00F95A94">
        <w:rPr>
          <w:rStyle w:val="fontstyle01"/>
          <w:rFonts w:ascii="Arial Narrow" w:hAnsi="Arial Narrow"/>
          <w:sz w:val="24"/>
          <w:szCs w:val="24"/>
        </w:rPr>
        <w:t>Shortages in obligations arising out of internal netting of trades</w:t>
      </w:r>
    </w:p>
    <w:p w:rsidR="003D1E8D" w:rsidRDefault="003D1E8D" w:rsidP="00391D66">
      <w:pPr>
        <w:autoSpaceDE w:val="0"/>
        <w:autoSpaceDN w:val="0"/>
        <w:adjustRightInd w:val="0"/>
        <w:spacing w:after="0"/>
        <w:jc w:val="both"/>
        <w:rPr>
          <w:rStyle w:val="fontstyle21"/>
          <w:rFonts w:ascii="Arial Narrow" w:hAnsi="Arial Narrow"/>
        </w:rPr>
      </w:pPr>
    </w:p>
    <w:p w:rsidR="00F95A94" w:rsidRDefault="00F95A94" w:rsidP="00391D66">
      <w:pPr>
        <w:autoSpaceDE w:val="0"/>
        <w:autoSpaceDN w:val="0"/>
        <w:adjustRightInd w:val="0"/>
        <w:spacing w:after="0"/>
        <w:jc w:val="both"/>
        <w:rPr>
          <w:rStyle w:val="fontstyle21"/>
          <w:rFonts w:ascii="Arial Narrow" w:hAnsi="Arial Narrow"/>
        </w:rPr>
      </w:pPr>
      <w:r>
        <w:rPr>
          <w:rStyle w:val="fontstyle21"/>
          <w:rFonts w:ascii="Arial Narrow" w:hAnsi="Arial Narrow"/>
        </w:rPr>
        <w:t>PFSPL</w:t>
      </w:r>
      <w:r w:rsidRPr="00F95A94">
        <w:rPr>
          <w:rStyle w:val="fontstyle21"/>
          <w:rFonts w:ascii="Arial Narrow" w:hAnsi="Arial Narrow"/>
        </w:rPr>
        <w:t xml:space="preserve"> shall have the right to adopt a policy of its choice for internal auctions arising out of internal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>netting of trades and charge to defaulter seller and compensate the impacted purchaser as per the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>policy.</w:t>
      </w:r>
    </w:p>
    <w:p w:rsidR="003D1E8D" w:rsidRDefault="003D1E8D" w:rsidP="00391D66">
      <w:pPr>
        <w:autoSpaceDE w:val="0"/>
        <w:autoSpaceDN w:val="0"/>
        <w:adjustRightInd w:val="0"/>
        <w:spacing w:after="0"/>
        <w:jc w:val="both"/>
        <w:rPr>
          <w:rStyle w:val="fontstyle21"/>
          <w:rFonts w:ascii="Arial Narrow" w:hAnsi="Arial Narrow"/>
        </w:rPr>
      </w:pPr>
    </w:p>
    <w:p w:rsidR="00F95A94" w:rsidRDefault="00F95A94" w:rsidP="00391D66">
      <w:pPr>
        <w:autoSpaceDE w:val="0"/>
        <w:autoSpaceDN w:val="0"/>
        <w:adjustRightInd w:val="0"/>
        <w:spacing w:after="0"/>
        <w:jc w:val="both"/>
        <w:rPr>
          <w:rStyle w:val="fontstyle21"/>
          <w:rFonts w:ascii="Arial Narrow" w:hAnsi="Arial Narrow"/>
        </w:rPr>
      </w:pPr>
      <w:r w:rsidRPr="00F95A94">
        <w:rPr>
          <w:rStyle w:val="fontstyle21"/>
          <w:rFonts w:ascii="Arial Narrow" w:hAnsi="Arial Narrow"/>
        </w:rPr>
        <w:t>In case there is shortage in obligation arising out of Internal netting of Trades and auction is not made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>by the exchange then both the clients are apprised of the situation. In case of default in security pay in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>by the client and the shortage is at member level i.e. internal shortage then close out rate is calculated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 xml:space="preserve">as </w:t>
      </w:r>
      <w:r w:rsidR="004A79B6">
        <w:rPr>
          <w:rStyle w:val="fontstyle21"/>
          <w:rFonts w:ascii="Arial Narrow" w:hAnsi="Arial Narrow"/>
        </w:rPr>
        <w:t>between 1.5</w:t>
      </w:r>
      <w:r w:rsidRPr="00F95A94">
        <w:rPr>
          <w:rStyle w:val="fontstyle21"/>
          <w:rFonts w:ascii="Arial Narrow" w:hAnsi="Arial Narrow"/>
        </w:rPr>
        <w:t>%</w:t>
      </w:r>
      <w:r w:rsidR="004A79B6">
        <w:rPr>
          <w:rStyle w:val="fontstyle21"/>
          <w:rFonts w:ascii="Arial Narrow" w:hAnsi="Arial Narrow"/>
        </w:rPr>
        <w:t xml:space="preserve"> to 10%</w:t>
      </w:r>
      <w:r w:rsidRPr="00F95A94">
        <w:rPr>
          <w:rStyle w:val="fontstyle21"/>
          <w:rFonts w:ascii="Arial Narrow" w:hAnsi="Arial Narrow"/>
        </w:rPr>
        <w:t xml:space="preserve"> above the higher closing price</w:t>
      </w:r>
      <w:r w:rsidR="004A79B6">
        <w:rPr>
          <w:rStyle w:val="fontstyle21"/>
          <w:rFonts w:ascii="Arial Narrow" w:hAnsi="Arial Narrow"/>
        </w:rPr>
        <w:t>/auction price</w:t>
      </w:r>
      <w:r w:rsidRPr="00F95A94">
        <w:rPr>
          <w:rStyle w:val="fontstyle21"/>
          <w:rFonts w:ascii="Arial Narrow" w:hAnsi="Arial Narrow"/>
        </w:rPr>
        <w:t xml:space="preserve"> between trading day and pay-in day shall be recovered from the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>defaulting client and passed on to the respective beneficiary client.</w:t>
      </w:r>
    </w:p>
    <w:p w:rsidR="003D1E8D" w:rsidRDefault="003D1E8D" w:rsidP="00391D66">
      <w:pPr>
        <w:autoSpaceDE w:val="0"/>
        <w:autoSpaceDN w:val="0"/>
        <w:adjustRightInd w:val="0"/>
        <w:spacing w:after="0"/>
        <w:jc w:val="both"/>
        <w:rPr>
          <w:rStyle w:val="fontstyle21"/>
          <w:rFonts w:ascii="Arial Narrow" w:hAnsi="Arial Narrow"/>
        </w:rPr>
      </w:pPr>
    </w:p>
    <w:p w:rsidR="00F95A94" w:rsidRDefault="00F95A94" w:rsidP="00391D66">
      <w:pPr>
        <w:autoSpaceDE w:val="0"/>
        <w:autoSpaceDN w:val="0"/>
        <w:adjustRightInd w:val="0"/>
        <w:spacing w:after="0"/>
        <w:jc w:val="both"/>
        <w:rPr>
          <w:rStyle w:val="fontstyle21"/>
          <w:rFonts w:ascii="Arial Narrow" w:hAnsi="Arial Narrow"/>
        </w:rPr>
      </w:pPr>
      <w:r w:rsidRPr="00F95A94">
        <w:rPr>
          <w:rStyle w:val="fontstyle21"/>
          <w:rFonts w:ascii="Arial Narrow" w:hAnsi="Arial Narrow"/>
        </w:rPr>
        <w:t>If the client defaults on its existing obligation and in the event the trade has been internally netted off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 xml:space="preserve">by </w:t>
      </w:r>
      <w:r>
        <w:rPr>
          <w:rStyle w:val="fontstyle21"/>
          <w:rFonts w:ascii="Arial Narrow" w:hAnsi="Arial Narrow"/>
        </w:rPr>
        <w:t>PFSPL</w:t>
      </w:r>
      <w:r w:rsidRPr="00F95A94">
        <w:rPr>
          <w:rStyle w:val="fontstyle21"/>
          <w:rFonts w:ascii="Arial Narrow" w:hAnsi="Arial Narrow"/>
        </w:rPr>
        <w:t xml:space="preserve">, </w:t>
      </w:r>
      <w:r>
        <w:rPr>
          <w:rStyle w:val="fontstyle21"/>
          <w:rFonts w:ascii="Arial Narrow" w:hAnsi="Arial Narrow"/>
        </w:rPr>
        <w:t>PFSPL</w:t>
      </w:r>
      <w:r w:rsidRPr="00F95A94">
        <w:rPr>
          <w:rStyle w:val="fontstyle21"/>
          <w:rFonts w:ascii="Arial Narrow" w:hAnsi="Arial Narrow"/>
        </w:rPr>
        <w:t xml:space="preserve"> shall have the right to square off the position of the client to make good the shortages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 xml:space="preserve">arising thereof. </w:t>
      </w:r>
      <w:r>
        <w:rPr>
          <w:rStyle w:val="fontstyle21"/>
          <w:rFonts w:ascii="Arial Narrow" w:hAnsi="Arial Narrow"/>
        </w:rPr>
        <w:t>PFSPL</w:t>
      </w:r>
      <w:r w:rsidRPr="00F95A94">
        <w:rPr>
          <w:rStyle w:val="fontstyle21"/>
          <w:rFonts w:ascii="Arial Narrow" w:hAnsi="Arial Narrow"/>
        </w:rPr>
        <w:t xml:space="preserve"> shall not be responsible for losses to the Client on account of such square off. All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>losses to the Client on this account shall be borne solely by the Client and the Client shall indemnify the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>same.</w:t>
      </w:r>
    </w:p>
    <w:p w:rsidR="003D1E8D" w:rsidRDefault="003D1E8D" w:rsidP="00391D66">
      <w:pPr>
        <w:autoSpaceDE w:val="0"/>
        <w:autoSpaceDN w:val="0"/>
        <w:adjustRightInd w:val="0"/>
        <w:spacing w:after="0"/>
        <w:jc w:val="both"/>
        <w:rPr>
          <w:rStyle w:val="fontstyle21"/>
          <w:rFonts w:ascii="Arial Narrow" w:hAnsi="Arial Narrow"/>
        </w:rPr>
      </w:pPr>
    </w:p>
    <w:p w:rsidR="00F50074" w:rsidRPr="00F95A94" w:rsidRDefault="00F95A9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95A94">
        <w:rPr>
          <w:rStyle w:val="fontstyle21"/>
          <w:rFonts w:ascii="Arial Narrow" w:hAnsi="Arial Narrow"/>
        </w:rPr>
        <w:t>This Policy will be monitored by the Compliance officer and will be reviewed based on regulatory</w:t>
      </w:r>
      <w:r w:rsidR="003D1E8D">
        <w:rPr>
          <w:rStyle w:val="fontstyle21"/>
          <w:rFonts w:ascii="Arial Narrow" w:hAnsi="Arial Narrow"/>
        </w:rPr>
        <w:t xml:space="preserve"> </w:t>
      </w:r>
      <w:r w:rsidRPr="00F95A94">
        <w:rPr>
          <w:rStyle w:val="fontstyle21"/>
          <w:rFonts w:ascii="Arial Narrow" w:hAnsi="Arial Narrow"/>
        </w:rPr>
        <w:t>changes or as per the Requirement.</w:t>
      </w:r>
    </w:p>
    <w:p w:rsidR="00F50074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bookmarkStart w:id="0" w:name="_GoBack"/>
      <w:bookmarkEnd w:id="0"/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FOR PINNACLE FOREX &amp; SECURITIES PVT. LTD.</w:t>
      </w: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DIRECTOR</w:t>
      </w:r>
    </w:p>
    <w:p w:rsidR="005B1D6F" w:rsidRPr="005B1D6F" w:rsidRDefault="005B1D6F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 xml:space="preserve">Mr. Arvind </w:t>
      </w:r>
      <w:proofErr w:type="spellStart"/>
      <w:r>
        <w:rPr>
          <w:rFonts w:ascii="Arial Narrow" w:hAnsi="Arial Narrow" w:cs="Calibri"/>
          <w:color w:val="000000"/>
          <w:sz w:val="24"/>
          <w:szCs w:val="24"/>
        </w:rPr>
        <w:t>Vinchhivora</w:t>
      </w:r>
      <w:proofErr w:type="spellEnd"/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97"/>
      </w:tblGrid>
      <w:tr w:rsidR="00E97A67" w:rsidTr="00E97A6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Mehul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Prakash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Bhadra</w:t>
            </w:r>
            <w:proofErr w:type="spellEnd"/>
          </w:p>
        </w:tc>
      </w:tr>
      <w:tr w:rsidR="00E97A67" w:rsidTr="00E97A6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Arvind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Vinchhivora</w:t>
            </w:r>
            <w:proofErr w:type="spellEnd"/>
          </w:p>
        </w:tc>
      </w:tr>
      <w:tr w:rsidR="00E97A67" w:rsidTr="00E97A6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530575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April 1</w:t>
            </w:r>
            <w:r w:rsidR="00530575">
              <w:rPr>
                <w:rFonts w:ascii="Arial Narrow" w:hAnsi="Arial Narrow" w:cs="Arial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, 202</w:t>
            </w:r>
            <w:r w:rsidR="00530575">
              <w:rPr>
                <w:rFonts w:ascii="Arial Narrow" w:hAnsi="Arial Narrow" w:cs="Arial"/>
                <w:color w:val="000000"/>
                <w:shd w:val="clear" w:color="auto" w:fill="FFFFFF"/>
              </w:rPr>
              <w:t>4</w:t>
            </w:r>
          </w:p>
        </w:tc>
      </w:tr>
      <w:tr w:rsidR="00E97A67" w:rsidTr="00E97A6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67" w:rsidRDefault="00E97A67" w:rsidP="00E97A6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Pinnacle Forex &amp; Securities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Pvt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Ltd</w:t>
            </w:r>
          </w:p>
        </w:tc>
      </w:tr>
    </w:tbl>
    <w:p w:rsidR="00D91C48" w:rsidRPr="00391D66" w:rsidRDefault="00D91C48" w:rsidP="00391D66">
      <w:pPr>
        <w:spacing w:after="0"/>
        <w:rPr>
          <w:rFonts w:ascii="Arial Narrow" w:hAnsi="Arial Narrow"/>
          <w:b/>
          <w:sz w:val="24"/>
          <w:szCs w:val="24"/>
        </w:rPr>
      </w:pPr>
    </w:p>
    <w:p w:rsidR="00D91C48" w:rsidRPr="00391D66" w:rsidRDefault="00D91C48" w:rsidP="00391D66">
      <w:pPr>
        <w:spacing w:after="0"/>
        <w:rPr>
          <w:rFonts w:ascii="Arial Narrow" w:hAnsi="Arial Narrow"/>
          <w:sz w:val="24"/>
          <w:szCs w:val="24"/>
        </w:rPr>
      </w:pPr>
    </w:p>
    <w:sectPr w:rsidR="00D91C48" w:rsidRPr="00391D66" w:rsidSect="00B82D99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1C48"/>
    <w:rsid w:val="00203E63"/>
    <w:rsid w:val="002C768D"/>
    <w:rsid w:val="00391D66"/>
    <w:rsid w:val="003D1E8D"/>
    <w:rsid w:val="004A79B6"/>
    <w:rsid w:val="00505D51"/>
    <w:rsid w:val="00530575"/>
    <w:rsid w:val="005B1D6F"/>
    <w:rsid w:val="00995022"/>
    <w:rsid w:val="00B0115B"/>
    <w:rsid w:val="00B82D99"/>
    <w:rsid w:val="00CD1DB1"/>
    <w:rsid w:val="00D7135D"/>
    <w:rsid w:val="00D91C48"/>
    <w:rsid w:val="00E97A67"/>
    <w:rsid w:val="00F50074"/>
    <w:rsid w:val="00F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3C72"/>
  <w15:docId w15:val="{AB35ADB0-C54C-4221-B26B-F5D88EE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1C48"/>
    <w:rPr>
      <w:color w:val="0000FF"/>
      <w:u w:val="single"/>
    </w:rPr>
  </w:style>
  <w:style w:type="character" w:customStyle="1" w:styleId="fontstyle01">
    <w:name w:val="fontstyle01"/>
    <w:basedOn w:val="DefaultParagraphFont"/>
    <w:rsid w:val="00F95A94"/>
    <w:rPr>
      <w:rFonts w:ascii="Calibri" w:hAnsi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5A94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Prashant W</cp:lastModifiedBy>
  <cp:revision>13</cp:revision>
  <dcterms:created xsi:type="dcterms:W3CDTF">2012-07-21T09:47:00Z</dcterms:created>
  <dcterms:modified xsi:type="dcterms:W3CDTF">2024-09-05T06:33:00Z</dcterms:modified>
</cp:coreProperties>
</file>