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6C" w:rsidRDefault="0029126C" w:rsidP="0029126C">
      <w:pPr>
        <w:spacing w:after="0"/>
        <w:jc w:val="center"/>
        <w:rPr>
          <w:rFonts w:ascii="Arial Narrow" w:hAnsi="Arial Narrow"/>
          <w:b/>
          <w:bCs/>
        </w:rPr>
      </w:pPr>
      <w:r w:rsidRPr="0029126C">
        <w:rPr>
          <w:rFonts w:ascii="Arial Narrow" w:hAnsi="Arial Narrow"/>
          <w:b/>
          <w:bCs/>
        </w:rPr>
        <w:t>RISK</w:t>
      </w:r>
      <w:r>
        <w:rPr>
          <w:rFonts w:ascii="Arial Narrow" w:hAnsi="Arial Narrow"/>
          <w:b/>
          <w:bCs/>
        </w:rPr>
        <w:t xml:space="preserve"> </w:t>
      </w:r>
      <w:r w:rsidRPr="0029126C">
        <w:rPr>
          <w:rFonts w:ascii="Arial Narrow" w:hAnsi="Arial Narrow"/>
          <w:b/>
          <w:bCs/>
        </w:rPr>
        <w:t>MANAGEMENT</w:t>
      </w:r>
      <w:r>
        <w:rPr>
          <w:rFonts w:ascii="Arial Narrow" w:hAnsi="Arial Narrow"/>
          <w:b/>
          <w:bCs/>
        </w:rPr>
        <w:t xml:space="preserve"> </w:t>
      </w:r>
      <w:r w:rsidRPr="0029126C">
        <w:rPr>
          <w:rFonts w:ascii="Arial Narrow" w:hAnsi="Arial Narrow"/>
          <w:b/>
          <w:bCs/>
        </w:rPr>
        <w:t>POLICY</w:t>
      </w:r>
    </w:p>
    <w:p w:rsidR="00007C71" w:rsidRPr="002E0B26" w:rsidRDefault="00007C71" w:rsidP="00007C71">
      <w:pPr>
        <w:numPr>
          <w:ilvl w:val="0"/>
          <w:numId w:val="1"/>
        </w:numPr>
        <w:rPr>
          <w:rFonts w:ascii="Arial Narrow" w:hAnsi="Arial Narrow"/>
          <w:b/>
          <w:bCs/>
        </w:rPr>
      </w:pPr>
      <w:r w:rsidRPr="002E0B26">
        <w:rPr>
          <w:rFonts w:ascii="Arial Narrow" w:hAnsi="Arial Narrow"/>
          <w:b/>
          <w:bCs/>
        </w:rPr>
        <w:t>Background</w:t>
      </w:r>
    </w:p>
    <w:p w:rsidR="00007C71" w:rsidRPr="002E0B26" w:rsidRDefault="00007C71" w:rsidP="0029126C">
      <w:pPr>
        <w:spacing w:after="0"/>
        <w:ind w:left="360"/>
        <w:jc w:val="both"/>
        <w:rPr>
          <w:rFonts w:ascii="Arial Narrow" w:hAnsi="Arial Narrow"/>
        </w:rPr>
      </w:pPr>
      <w:r w:rsidRPr="002E0B26">
        <w:rPr>
          <w:rFonts w:ascii="Arial Narrow" w:hAnsi="Arial Narrow"/>
        </w:rPr>
        <w:t>The Regulators mandate members to have a system of risk management to protect themselves from client defaults. The same should be well documented and be made accessible to all the stakeholders. Risk Management System (RMS) function includes: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To define clear procedure for risk management of clients in Equities &amp; Derivatives.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To check capital adequacy for exposure and requirements of the client.</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Monitoring of Clients Order, Pattern of Trades, Order rejections, increasing of Exposure/limits.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Monitoring MTM profit/loss incurred out of trades.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Margin v/s Exposure of client.</w:t>
      </w:r>
    </w:p>
    <w:p w:rsidR="00007C71" w:rsidRPr="002E0B26" w:rsidRDefault="00007C71" w:rsidP="000C54DC">
      <w:pPr>
        <w:numPr>
          <w:ilvl w:val="1"/>
          <w:numId w:val="1"/>
        </w:numPr>
        <w:tabs>
          <w:tab w:val="clear" w:pos="1440"/>
          <w:tab w:val="num" w:pos="1260"/>
        </w:tabs>
        <w:ind w:left="1260" w:hanging="450"/>
        <w:jc w:val="both"/>
        <w:rPr>
          <w:rFonts w:ascii="Arial Narrow" w:hAnsi="Arial Narrow"/>
        </w:rPr>
      </w:pPr>
      <w:r w:rsidRPr="002E0B26">
        <w:rPr>
          <w:rFonts w:ascii="Arial Narrow" w:hAnsi="Arial Narrow"/>
        </w:rPr>
        <w:t>Decision taking with regard to squaring off positions on account of MTM loss or Margin shortfalls or any other reasons that may come across.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Other monitoring procedures.</w:t>
      </w:r>
    </w:p>
    <w:p w:rsidR="00007C71" w:rsidRPr="002E0B26" w:rsidRDefault="00007C71" w:rsidP="00007C71">
      <w:pPr>
        <w:numPr>
          <w:ilvl w:val="0"/>
          <w:numId w:val="1"/>
        </w:numPr>
        <w:rPr>
          <w:rFonts w:ascii="Arial Narrow" w:hAnsi="Arial Narrow"/>
          <w:b/>
          <w:bCs/>
        </w:rPr>
      </w:pPr>
      <w:r w:rsidRPr="002E0B26">
        <w:rPr>
          <w:rFonts w:ascii="Arial Narrow" w:hAnsi="Arial Narrow"/>
          <w:b/>
          <w:bCs/>
        </w:rPr>
        <w:t>Objective</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To identify various risk areas to which Pinnacle Forex and Securities Pvt Ltd (PFSPL) may get exposed in the normal course of broking business.</w:t>
      </w:r>
    </w:p>
    <w:p w:rsidR="00007C71" w:rsidRPr="002E0B26" w:rsidRDefault="00007C71" w:rsidP="000C54DC">
      <w:pPr>
        <w:numPr>
          <w:ilvl w:val="1"/>
          <w:numId w:val="1"/>
        </w:numPr>
        <w:tabs>
          <w:tab w:val="clear" w:pos="1440"/>
          <w:tab w:val="num" w:pos="1260"/>
        </w:tabs>
        <w:ind w:left="1260" w:hanging="450"/>
        <w:rPr>
          <w:rFonts w:ascii="Arial Narrow" w:hAnsi="Arial Narrow"/>
        </w:rPr>
      </w:pPr>
      <w:r w:rsidRPr="002E0B26">
        <w:rPr>
          <w:rFonts w:ascii="Arial Narrow" w:hAnsi="Arial Narrow"/>
        </w:rPr>
        <w:t>To build in process checks/controls to mitigate / minimize the risk exposure.</w:t>
      </w:r>
    </w:p>
    <w:p w:rsidR="00007C71" w:rsidRPr="002E0B26" w:rsidRDefault="00007C71" w:rsidP="00007C71">
      <w:pPr>
        <w:numPr>
          <w:ilvl w:val="0"/>
          <w:numId w:val="1"/>
        </w:numPr>
        <w:rPr>
          <w:rFonts w:ascii="Arial Narrow" w:hAnsi="Arial Narrow"/>
          <w:b/>
          <w:bCs/>
        </w:rPr>
      </w:pPr>
      <w:r w:rsidRPr="002E0B26">
        <w:rPr>
          <w:rFonts w:ascii="Arial Narrow" w:hAnsi="Arial Narrow"/>
          <w:b/>
          <w:bCs/>
        </w:rPr>
        <w:t>Products Offered</w:t>
      </w:r>
    </w:p>
    <w:p w:rsidR="00007C71" w:rsidRPr="002E0B26" w:rsidRDefault="00007C71" w:rsidP="000C54DC">
      <w:pPr>
        <w:numPr>
          <w:ilvl w:val="1"/>
          <w:numId w:val="1"/>
        </w:numPr>
        <w:tabs>
          <w:tab w:val="clear" w:pos="1440"/>
          <w:tab w:val="num" w:pos="1260"/>
        </w:tabs>
        <w:ind w:hanging="630"/>
        <w:rPr>
          <w:rFonts w:ascii="Arial Narrow" w:hAnsi="Arial Narrow"/>
        </w:rPr>
      </w:pPr>
      <w:r w:rsidRPr="002E0B26">
        <w:rPr>
          <w:rFonts w:ascii="Arial Narrow" w:hAnsi="Arial Narrow"/>
        </w:rPr>
        <w:t>Delivery Trading (i.e. Long Term - Cash and Carry (CNC))</w:t>
      </w:r>
    </w:p>
    <w:p w:rsidR="00007C71" w:rsidRPr="002E0B26" w:rsidRDefault="00007C71" w:rsidP="000C54DC">
      <w:pPr>
        <w:numPr>
          <w:ilvl w:val="1"/>
          <w:numId w:val="1"/>
        </w:numPr>
        <w:tabs>
          <w:tab w:val="clear" w:pos="1440"/>
          <w:tab w:val="num" w:pos="1260"/>
        </w:tabs>
        <w:ind w:hanging="630"/>
        <w:rPr>
          <w:rFonts w:ascii="Arial Narrow" w:hAnsi="Arial Narrow"/>
        </w:rPr>
      </w:pPr>
      <w:r w:rsidRPr="002E0B26">
        <w:rPr>
          <w:rFonts w:ascii="Arial Narrow" w:hAnsi="Arial Narrow"/>
        </w:rPr>
        <w:t>Intraday Trading (i.e. Intraday Square-off (MIS))</w:t>
      </w:r>
    </w:p>
    <w:p w:rsidR="00007C71" w:rsidRPr="002E0B26" w:rsidRDefault="00007C71" w:rsidP="000C54DC">
      <w:pPr>
        <w:numPr>
          <w:ilvl w:val="1"/>
          <w:numId w:val="1"/>
        </w:numPr>
        <w:tabs>
          <w:tab w:val="clear" w:pos="1440"/>
          <w:tab w:val="num" w:pos="1260"/>
        </w:tabs>
        <w:ind w:hanging="630"/>
        <w:rPr>
          <w:rFonts w:ascii="Arial Narrow" w:hAnsi="Arial Narrow"/>
        </w:rPr>
      </w:pPr>
      <w:r w:rsidRPr="002E0B26">
        <w:rPr>
          <w:rFonts w:ascii="Arial Narrow" w:hAnsi="Arial Narrow"/>
        </w:rPr>
        <w:t>Futures and Options (i.e. Carry and Intraday)</w:t>
      </w:r>
    </w:p>
    <w:p w:rsidR="00007C71" w:rsidRPr="002E0B26" w:rsidRDefault="00007C71" w:rsidP="00007C71">
      <w:pPr>
        <w:numPr>
          <w:ilvl w:val="0"/>
          <w:numId w:val="1"/>
        </w:numPr>
        <w:rPr>
          <w:rFonts w:ascii="Arial Narrow" w:hAnsi="Arial Narrow"/>
          <w:b/>
          <w:bCs/>
        </w:rPr>
      </w:pPr>
      <w:r w:rsidRPr="002E0B26">
        <w:rPr>
          <w:rFonts w:ascii="Arial Narrow" w:hAnsi="Arial Narrow"/>
          <w:b/>
          <w:bCs/>
        </w:rPr>
        <w:t>Acceptable Collaterals</w:t>
      </w:r>
    </w:p>
    <w:p w:rsidR="00007C71" w:rsidRPr="002E0B26" w:rsidRDefault="00007C71" w:rsidP="000C54DC">
      <w:pPr>
        <w:ind w:left="720"/>
        <w:jc w:val="both"/>
        <w:rPr>
          <w:rFonts w:ascii="Arial Narrow" w:hAnsi="Arial Narrow"/>
        </w:rPr>
      </w:pPr>
      <w:r w:rsidRPr="002E0B26">
        <w:rPr>
          <w:rFonts w:ascii="Arial Narrow" w:hAnsi="Arial Narrow"/>
        </w:rPr>
        <w:t>Clients are required to provide liquid assets, which adequately cover various margin requirements. Liquid assets of the client which may include Cash component or any other acceptable collateral to get the trading limits. The client can provide cash and non-cash collateral.</w:t>
      </w:r>
    </w:p>
    <w:p w:rsidR="00007C71" w:rsidRPr="002E0B26" w:rsidRDefault="00007C71" w:rsidP="002E0B26">
      <w:pPr>
        <w:numPr>
          <w:ilvl w:val="1"/>
          <w:numId w:val="2"/>
        </w:numPr>
        <w:ind w:left="810"/>
        <w:rPr>
          <w:rFonts w:ascii="Arial Narrow" w:hAnsi="Arial Narrow"/>
          <w:b/>
          <w:bCs/>
        </w:rPr>
      </w:pPr>
      <w:r w:rsidRPr="002E0B26">
        <w:rPr>
          <w:rFonts w:ascii="Arial Narrow" w:hAnsi="Arial Narrow"/>
          <w:b/>
          <w:bCs/>
        </w:rPr>
        <w:t>Cash Component:</w:t>
      </w:r>
    </w:p>
    <w:p w:rsidR="002E0B26" w:rsidRDefault="00007C71" w:rsidP="0029126C">
      <w:pPr>
        <w:numPr>
          <w:ilvl w:val="2"/>
          <w:numId w:val="2"/>
        </w:numPr>
        <w:tabs>
          <w:tab w:val="clear" w:pos="2160"/>
          <w:tab w:val="num" w:pos="1080"/>
        </w:tabs>
        <w:spacing w:after="0"/>
        <w:ind w:left="1080" w:firstLine="0"/>
        <w:rPr>
          <w:rFonts w:ascii="Arial Narrow" w:hAnsi="Arial Narrow"/>
        </w:rPr>
      </w:pPr>
      <w:r w:rsidRPr="002E0B26">
        <w:rPr>
          <w:rFonts w:ascii="Arial Narrow" w:hAnsi="Arial Narrow"/>
        </w:rPr>
        <w:t>Net Client Ledger Balance:</w:t>
      </w:r>
      <w:bookmarkStart w:id="0" w:name="_GoBack"/>
      <w:bookmarkEnd w:id="0"/>
    </w:p>
    <w:p w:rsidR="00007C71" w:rsidRPr="002E0B26" w:rsidRDefault="00007C71" w:rsidP="002E0B26">
      <w:pPr>
        <w:ind w:left="1080"/>
        <w:jc w:val="both"/>
        <w:rPr>
          <w:rFonts w:ascii="Arial Narrow" w:hAnsi="Arial Narrow"/>
        </w:rPr>
      </w:pPr>
      <w:r w:rsidRPr="002E0B26">
        <w:rPr>
          <w:rFonts w:ascii="Arial Narrow" w:hAnsi="Arial Narrow"/>
        </w:rPr>
        <w:t xml:space="preserve">Net Client Ledger Balance including funds </w:t>
      </w:r>
      <w:proofErr w:type="spellStart"/>
      <w:r w:rsidRPr="002E0B26">
        <w:rPr>
          <w:rFonts w:ascii="Arial Narrow" w:hAnsi="Arial Narrow"/>
        </w:rPr>
        <w:t>payin</w:t>
      </w:r>
      <w:proofErr w:type="spellEnd"/>
      <w:r w:rsidRPr="002E0B26">
        <w:rPr>
          <w:rFonts w:ascii="Arial Narrow" w:hAnsi="Arial Narrow"/>
        </w:rPr>
        <w:t xml:space="preserve"> during the day across all segments and Exchanges and Credit entry passed in Client ledger towards securities for which any delivery obligation is already provided by the client and Early Pay-In (EPI) to the Exchange has been done </w:t>
      </w:r>
      <w:proofErr w:type="spellStart"/>
      <w:r w:rsidRPr="002E0B26">
        <w:rPr>
          <w:rFonts w:ascii="Arial Narrow" w:hAnsi="Arial Narrow"/>
        </w:rPr>
        <w:t>upto</w:t>
      </w:r>
      <w:proofErr w:type="spellEnd"/>
      <w:r w:rsidRPr="002E0B26">
        <w:rPr>
          <w:rFonts w:ascii="Arial Narrow" w:hAnsi="Arial Narrow"/>
        </w:rPr>
        <w:t xml:space="preserve"> the Exchange prescribed guidelines and limits.</w:t>
      </w:r>
    </w:p>
    <w:p w:rsidR="00007C71" w:rsidRPr="002E0B26" w:rsidRDefault="00007C71" w:rsidP="002E0B26">
      <w:pPr>
        <w:numPr>
          <w:ilvl w:val="2"/>
          <w:numId w:val="2"/>
        </w:numPr>
        <w:tabs>
          <w:tab w:val="clear" w:pos="2160"/>
          <w:tab w:val="num" w:pos="1440"/>
        </w:tabs>
        <w:ind w:hanging="1080"/>
        <w:rPr>
          <w:rFonts w:ascii="Arial Narrow" w:hAnsi="Arial Narrow"/>
        </w:rPr>
      </w:pPr>
      <w:r w:rsidRPr="002E0B26">
        <w:rPr>
          <w:rFonts w:ascii="Arial Narrow" w:hAnsi="Arial Narrow"/>
        </w:rPr>
        <w:lastRenderedPageBreak/>
        <w:t>Fixed Deposits</w:t>
      </w:r>
    </w:p>
    <w:p w:rsidR="00007C71" w:rsidRPr="002E0B26" w:rsidRDefault="00007C71" w:rsidP="002E0B26">
      <w:pPr>
        <w:numPr>
          <w:ilvl w:val="1"/>
          <w:numId w:val="2"/>
        </w:numPr>
        <w:ind w:left="810"/>
        <w:rPr>
          <w:rFonts w:ascii="Arial Narrow" w:hAnsi="Arial Narrow"/>
          <w:b/>
          <w:bCs/>
        </w:rPr>
      </w:pPr>
      <w:r w:rsidRPr="002E0B26">
        <w:rPr>
          <w:rFonts w:ascii="Arial Narrow" w:hAnsi="Arial Narrow"/>
          <w:b/>
          <w:bCs/>
        </w:rPr>
        <w:t>Non Cash Component:</w:t>
      </w:r>
    </w:p>
    <w:p w:rsidR="00007C71" w:rsidRPr="001F2DEC" w:rsidRDefault="00007C71" w:rsidP="001F2DEC">
      <w:pPr>
        <w:pStyle w:val="ListParagraph"/>
        <w:numPr>
          <w:ilvl w:val="0"/>
          <w:numId w:val="2"/>
        </w:numPr>
        <w:ind w:firstLine="360"/>
        <w:rPr>
          <w:rFonts w:ascii="Arial Narrow" w:hAnsi="Arial Narrow"/>
        </w:rPr>
      </w:pPr>
      <w:r w:rsidRPr="001F2DEC">
        <w:rPr>
          <w:rFonts w:ascii="Arial Narrow" w:hAnsi="Arial Narrow"/>
          <w:bCs/>
        </w:rPr>
        <w:t>Securities</w:t>
      </w:r>
    </w:p>
    <w:p w:rsidR="00007C71" w:rsidRPr="002E0B26" w:rsidRDefault="00007C71" w:rsidP="001F2DEC">
      <w:pPr>
        <w:ind w:left="1080"/>
        <w:jc w:val="both"/>
        <w:rPr>
          <w:rFonts w:ascii="Arial Narrow" w:hAnsi="Arial Narrow"/>
        </w:rPr>
      </w:pPr>
      <w:r w:rsidRPr="002E0B26">
        <w:rPr>
          <w:rFonts w:ascii="Arial Narrow" w:hAnsi="Arial Narrow"/>
        </w:rPr>
        <w:t>PFSPL may accept approved securities as defined by the Exchange and / or Non-Approved Securities, at the discretion of Risk Team, after applying appropriate haircut. Approved securities are liquid Securities, in dematerialized format, actively traded on the national exchanges, which are specifically not declared as illiquid shall be pledged as margins, as per the pledging/ re-pledging mechanism specified by SEBI/NSDL/CDSL/CC from time to time.</w:t>
      </w:r>
    </w:p>
    <w:p w:rsidR="00007C71" w:rsidRPr="002E0B26" w:rsidRDefault="00007C71" w:rsidP="001F2DEC">
      <w:pPr>
        <w:ind w:left="1080"/>
        <w:jc w:val="both"/>
        <w:rPr>
          <w:rFonts w:ascii="Arial Narrow" w:hAnsi="Arial Narrow"/>
        </w:rPr>
      </w:pPr>
      <w:r w:rsidRPr="002E0B26">
        <w:rPr>
          <w:rFonts w:ascii="Arial Narrow" w:hAnsi="Arial Narrow"/>
        </w:rPr>
        <w:t>Appropriate Haircut, equal to Value at Risk (VAR) margin or such higher percentage as prescribed by the PFSPL from time to time, shall be applied to the closing price of the securities as prescribed by Exchange. VAR Margin shall mean all the Margin available in the VAR Margin files received from exchanges. Value of securities, after consideration of appropriate haircut, shall be considered as value of securities pledged.</w:t>
      </w:r>
    </w:p>
    <w:p w:rsidR="00007C71" w:rsidRPr="002E0B26" w:rsidRDefault="00007C71" w:rsidP="001F2DEC">
      <w:pPr>
        <w:ind w:left="1080"/>
        <w:jc w:val="both"/>
        <w:rPr>
          <w:rFonts w:ascii="Arial Narrow" w:hAnsi="Arial Narrow"/>
        </w:rPr>
      </w:pPr>
      <w:r w:rsidRPr="002E0B26">
        <w:rPr>
          <w:rFonts w:ascii="Arial Narrow" w:hAnsi="Arial Narrow"/>
        </w:rPr>
        <w:t>Collateral Margin shall not be considered for equity delivery positions (Cash and Carry product) and Options Buy carried forward positions.</w:t>
      </w:r>
    </w:p>
    <w:p w:rsidR="00007C71" w:rsidRPr="002E0B26" w:rsidRDefault="00007C71" w:rsidP="001F2DEC">
      <w:pPr>
        <w:ind w:left="1080"/>
        <w:jc w:val="both"/>
        <w:rPr>
          <w:rFonts w:ascii="Arial Narrow" w:hAnsi="Arial Narrow"/>
        </w:rPr>
      </w:pPr>
      <w:r w:rsidRPr="002E0B26">
        <w:rPr>
          <w:rFonts w:ascii="Arial Narrow" w:hAnsi="Arial Narrow"/>
        </w:rPr>
        <w:t>PFSPL shall reserves the right to re-pledge the approved securities to the Clearing Corporations. In case the client defaults, PFSPL and/or the Clearing Corporations shall be entitled to invoke securities pledged by the client.</w:t>
      </w:r>
    </w:p>
    <w:p w:rsidR="00007C71" w:rsidRPr="001F2DEC" w:rsidRDefault="00007C71" w:rsidP="001F2DEC">
      <w:pPr>
        <w:pStyle w:val="ListParagraph"/>
        <w:numPr>
          <w:ilvl w:val="0"/>
          <w:numId w:val="10"/>
        </w:numPr>
        <w:rPr>
          <w:rFonts w:ascii="Arial Narrow" w:hAnsi="Arial Narrow"/>
        </w:rPr>
      </w:pPr>
      <w:r w:rsidRPr="001F2DEC">
        <w:rPr>
          <w:rFonts w:ascii="Arial Narrow" w:hAnsi="Arial Narrow"/>
          <w:bCs/>
        </w:rPr>
        <w:t>Mutual Funds</w:t>
      </w:r>
    </w:p>
    <w:p w:rsidR="00007C71" w:rsidRPr="002E0B26" w:rsidRDefault="00007C71" w:rsidP="001F2DEC">
      <w:pPr>
        <w:ind w:left="1080"/>
        <w:jc w:val="both"/>
        <w:rPr>
          <w:rFonts w:ascii="Arial Narrow" w:hAnsi="Arial Narrow"/>
        </w:rPr>
      </w:pPr>
      <w:r w:rsidRPr="002E0B26">
        <w:rPr>
          <w:rFonts w:ascii="Arial Narrow" w:hAnsi="Arial Narrow"/>
        </w:rPr>
        <w:t xml:space="preserve">List of approved Mutual Funds is specified by the Clearing Corporation from time to time. Clients shall be permitted to pledge an open-ended Mutual Fund units available in </w:t>
      </w:r>
      <w:proofErr w:type="spellStart"/>
      <w:r w:rsidRPr="002E0B26">
        <w:rPr>
          <w:rFonts w:ascii="Arial Narrow" w:hAnsi="Arial Narrow"/>
        </w:rPr>
        <w:t>demat</w:t>
      </w:r>
      <w:proofErr w:type="spellEnd"/>
      <w:r w:rsidRPr="002E0B26">
        <w:rPr>
          <w:rFonts w:ascii="Arial Narrow" w:hAnsi="Arial Narrow"/>
        </w:rPr>
        <w:t xml:space="preserve"> form as Collateral.</w:t>
      </w:r>
    </w:p>
    <w:p w:rsidR="00007C71" w:rsidRPr="002E0B26" w:rsidRDefault="00007C71" w:rsidP="001F2DEC">
      <w:pPr>
        <w:ind w:left="1080"/>
        <w:jc w:val="both"/>
        <w:rPr>
          <w:rFonts w:ascii="Arial Narrow" w:hAnsi="Arial Narrow"/>
        </w:rPr>
      </w:pPr>
      <w:r w:rsidRPr="002E0B26">
        <w:rPr>
          <w:rFonts w:ascii="Arial Narrow" w:hAnsi="Arial Narrow"/>
        </w:rPr>
        <w:t>Appropriate Haircut, equal to Value at Risk (VAR) margin or such higher percentage as prescribed by the PFSPL from time to time, shall be applied to the closing NAV of the Mutual Fund Units as prescribed by Exchange / AMFI. VAR Margin shall mean all the Margin available in the VAR Margin files received from exchanges. The collateral value of Mutual Fund units shall be arrived at after deduction of Haircut. Also, the total value of Mutual Funds provided as non-cash portion (Collateral) has certain Member level limits as per Clearing Corporation. Hence, client shall be unable to pledge mutual funds/securities above the said limit.</w:t>
      </w:r>
    </w:p>
    <w:p w:rsidR="00007C71" w:rsidRPr="002E0B26" w:rsidRDefault="00007C71" w:rsidP="001F2DEC">
      <w:pPr>
        <w:ind w:left="1080"/>
        <w:jc w:val="both"/>
        <w:rPr>
          <w:rFonts w:ascii="Arial Narrow" w:hAnsi="Arial Narrow"/>
        </w:rPr>
      </w:pPr>
      <w:r w:rsidRPr="002E0B26">
        <w:rPr>
          <w:rFonts w:ascii="Arial Narrow" w:hAnsi="Arial Narrow"/>
        </w:rPr>
        <w:t>In case of others (Mutual Funds not listed) the haircut will be as prescribed by Risk team</w:t>
      </w:r>
    </w:p>
    <w:p w:rsidR="00007C71" w:rsidRPr="002E0B26" w:rsidRDefault="00007C71" w:rsidP="001F2DEC">
      <w:pPr>
        <w:ind w:left="1080"/>
        <w:jc w:val="both"/>
        <w:rPr>
          <w:rFonts w:ascii="Arial Narrow" w:hAnsi="Arial Narrow"/>
        </w:rPr>
      </w:pPr>
      <w:r w:rsidRPr="002E0B26">
        <w:rPr>
          <w:rFonts w:ascii="Arial Narrow" w:hAnsi="Arial Narrow"/>
        </w:rPr>
        <w:t>Valuation Rate of Scrips/ Exchange Traded Funds for margin reporting purpose</w:t>
      </w:r>
    </w:p>
    <w:p w:rsidR="00007C71" w:rsidRPr="002E0B26" w:rsidRDefault="00007C71" w:rsidP="001F2DEC">
      <w:pPr>
        <w:ind w:left="1080"/>
        <w:jc w:val="both"/>
        <w:rPr>
          <w:rFonts w:ascii="Arial Narrow" w:hAnsi="Arial Narrow"/>
        </w:rPr>
      </w:pPr>
      <w:r w:rsidRPr="002E0B26">
        <w:rPr>
          <w:rFonts w:ascii="Arial Narrow" w:hAnsi="Arial Narrow"/>
        </w:rPr>
        <w:t>Valuation based on T-</w:t>
      </w:r>
      <w:proofErr w:type="gramStart"/>
      <w:r w:rsidRPr="002E0B26">
        <w:rPr>
          <w:rFonts w:ascii="Arial Narrow" w:hAnsi="Arial Narrow"/>
        </w:rPr>
        <w:t>1 day</w:t>
      </w:r>
      <w:proofErr w:type="gramEnd"/>
      <w:r w:rsidRPr="002E0B26">
        <w:rPr>
          <w:rFonts w:ascii="Arial Narrow" w:hAnsi="Arial Narrow"/>
        </w:rPr>
        <w:t xml:space="preserve"> rate as per NSE </w:t>
      </w:r>
      <w:proofErr w:type="spellStart"/>
      <w:r w:rsidRPr="002E0B26">
        <w:rPr>
          <w:rFonts w:ascii="Arial Narrow" w:hAnsi="Arial Narrow"/>
        </w:rPr>
        <w:t>Bhavcopy</w:t>
      </w:r>
      <w:proofErr w:type="spellEnd"/>
      <w:r w:rsidRPr="002E0B26">
        <w:rPr>
          <w:rFonts w:ascii="Arial Narrow" w:hAnsi="Arial Narrow"/>
        </w:rPr>
        <w:t xml:space="preserve">. In case, scrip is not listed on NSE or not traded on NSE, then valuation rate as per BSE </w:t>
      </w:r>
      <w:proofErr w:type="spellStart"/>
      <w:r w:rsidRPr="002E0B26">
        <w:rPr>
          <w:rFonts w:ascii="Arial Narrow" w:hAnsi="Arial Narrow"/>
        </w:rPr>
        <w:t>Bhavcopy</w:t>
      </w:r>
      <w:proofErr w:type="spellEnd"/>
      <w:r w:rsidRPr="002E0B26">
        <w:rPr>
          <w:rFonts w:ascii="Arial Narrow" w:hAnsi="Arial Narrow"/>
        </w:rPr>
        <w:t xml:space="preserve"> shall be applied.</w:t>
      </w:r>
    </w:p>
    <w:p w:rsidR="00007C71" w:rsidRDefault="00007C71" w:rsidP="001F2DEC">
      <w:pPr>
        <w:ind w:left="1080"/>
        <w:jc w:val="both"/>
        <w:rPr>
          <w:rFonts w:ascii="Arial Narrow" w:hAnsi="Arial Narrow"/>
        </w:rPr>
      </w:pPr>
      <w:r w:rsidRPr="002E0B26">
        <w:rPr>
          <w:rFonts w:ascii="Arial Narrow" w:hAnsi="Arial Narrow"/>
        </w:rPr>
        <w:t xml:space="preserve">Valuation Rate of Other Mutual Funds (MF) i.e. not listed on </w:t>
      </w:r>
      <w:r w:rsidR="00214BE1" w:rsidRPr="002E0B26">
        <w:rPr>
          <w:rFonts w:ascii="Arial Narrow" w:hAnsi="Arial Narrow"/>
        </w:rPr>
        <w:t>Exchange</w:t>
      </w:r>
      <w:r w:rsidRPr="002E0B26">
        <w:rPr>
          <w:rFonts w:ascii="Arial Narrow" w:hAnsi="Arial Narrow"/>
        </w:rPr>
        <w:t xml:space="preserve"> units which are neither listed on NSE or BSE shall be valued as per AMFI NAV file of T-1 day.</w:t>
      </w:r>
    </w:p>
    <w:p w:rsidR="00007C71" w:rsidRPr="002E0B26" w:rsidRDefault="00007C71" w:rsidP="00007C71">
      <w:pPr>
        <w:numPr>
          <w:ilvl w:val="0"/>
          <w:numId w:val="1"/>
        </w:numPr>
        <w:rPr>
          <w:rFonts w:ascii="Arial Narrow" w:hAnsi="Arial Narrow"/>
          <w:b/>
          <w:bCs/>
        </w:rPr>
      </w:pPr>
      <w:r w:rsidRPr="002E0B26">
        <w:rPr>
          <w:rFonts w:ascii="Arial Narrow" w:hAnsi="Arial Narrow"/>
          <w:b/>
          <w:bCs/>
        </w:rPr>
        <w:t>Setting up Client's Exposure Limits for all segments</w:t>
      </w:r>
    </w:p>
    <w:p w:rsidR="00007C71" w:rsidRPr="002E0B26" w:rsidRDefault="00007C71" w:rsidP="002E0B26">
      <w:pPr>
        <w:ind w:left="360"/>
        <w:jc w:val="both"/>
        <w:rPr>
          <w:rFonts w:ascii="Arial Narrow" w:hAnsi="Arial Narrow"/>
        </w:rPr>
      </w:pPr>
      <w:r w:rsidRPr="002E0B26">
        <w:rPr>
          <w:rFonts w:ascii="Arial Narrow" w:hAnsi="Arial Narrow"/>
        </w:rPr>
        <w:lastRenderedPageBreak/>
        <w:t>PFSPL may, from time to time impose and vary limits on the orders that the client can place through the PFSPL’s trading system (including exposure limits, turnover limits, limits as to the number, value in respect of which orders can be placed etc.). The client is aware and agrees that the PFSPL may, need to vary or reduce the limits or impose new limits urgently on the basis of the PFSPL’s risk perception and other factors considered relevant by the PFSPL including but not limited to limits on account of Exchange/ SEBI directions/limits and the PFSPL may be unable to inform the client of such variation, reduction or imposition in advance. The client agrees that the PFSPL shall not be responsible for such variation, reduction or imposition or the client's inability to route any order through the PFSPL's trading system on account of any such variation, reduction or imposition of limits.</w:t>
      </w:r>
    </w:p>
    <w:p w:rsidR="00007C71" w:rsidRPr="002E0B26" w:rsidRDefault="00007C71" w:rsidP="002E0B26">
      <w:pPr>
        <w:ind w:left="360"/>
        <w:jc w:val="both"/>
        <w:rPr>
          <w:rFonts w:ascii="Arial Narrow" w:hAnsi="Arial Narrow"/>
        </w:rPr>
      </w:pPr>
      <w:r w:rsidRPr="002E0B26">
        <w:rPr>
          <w:rFonts w:ascii="Arial Narrow" w:hAnsi="Arial Narrow"/>
        </w:rPr>
        <w:t>The client further agrees that the PFSPL may refuse to execute / allow execution of orders or change limits set by PFSPL/ Exchange / SEBI and any other reasons which the PFSPL may deem appropriate in the circumstances. The client agrees that the losses, if any, on account of such refusal or delay caused by such review, shall be borne exclusively by the client alone</w:t>
      </w:r>
    </w:p>
    <w:p w:rsidR="00007C71" w:rsidRPr="002E0B26" w:rsidRDefault="00007C71" w:rsidP="002E0B26">
      <w:pPr>
        <w:ind w:left="360"/>
        <w:rPr>
          <w:rFonts w:ascii="Arial Narrow" w:hAnsi="Arial Narrow"/>
        </w:rPr>
      </w:pPr>
      <w:r w:rsidRPr="002E0B26">
        <w:rPr>
          <w:rFonts w:ascii="Arial Narrow" w:hAnsi="Arial Narrow"/>
        </w:rPr>
        <w:t>While computing and reporting the available margin following parameter consider</w:t>
      </w:r>
      <w:r w:rsidRPr="002E0B26">
        <w:rPr>
          <w:rFonts w:ascii="Cambria Math" w:hAnsi="Cambria Math" w:cs="Cambria Math"/>
        </w:rPr>
        <w:t>‐</w:t>
      </w:r>
    </w:p>
    <w:p w:rsidR="00007C71" w:rsidRPr="002E0B26" w:rsidRDefault="00007C71" w:rsidP="00FF60FB">
      <w:pPr>
        <w:numPr>
          <w:ilvl w:val="1"/>
          <w:numId w:val="1"/>
        </w:numPr>
        <w:tabs>
          <w:tab w:val="clear" w:pos="1440"/>
          <w:tab w:val="num" w:pos="810"/>
        </w:tabs>
        <w:spacing w:after="0"/>
        <w:ind w:left="810" w:hanging="450"/>
        <w:rPr>
          <w:rFonts w:ascii="Arial Narrow" w:hAnsi="Arial Narrow"/>
        </w:rPr>
      </w:pPr>
      <w:r w:rsidRPr="002E0B26">
        <w:rPr>
          <w:rFonts w:ascii="Arial Narrow" w:hAnsi="Arial Narrow"/>
        </w:rPr>
        <w:t>Clear credit lying in client's settlement and margin ledger account.</w:t>
      </w:r>
    </w:p>
    <w:p w:rsidR="00007C71" w:rsidRPr="002E0B26" w:rsidRDefault="00007C71" w:rsidP="00FF60FB">
      <w:pPr>
        <w:numPr>
          <w:ilvl w:val="1"/>
          <w:numId w:val="1"/>
        </w:numPr>
        <w:tabs>
          <w:tab w:val="clear" w:pos="1440"/>
          <w:tab w:val="num" w:pos="810"/>
        </w:tabs>
        <w:spacing w:after="0"/>
        <w:ind w:left="810" w:hanging="450"/>
        <w:rPr>
          <w:rFonts w:ascii="Arial Narrow" w:hAnsi="Arial Narrow"/>
        </w:rPr>
      </w:pPr>
      <w:r w:rsidRPr="002E0B26">
        <w:rPr>
          <w:rFonts w:ascii="Arial Narrow" w:hAnsi="Arial Narrow"/>
        </w:rPr>
        <w:t>Value of Securities Pledge (after haircut) to the extent of Exchange guidelines as prescribed from time to time.</w:t>
      </w:r>
    </w:p>
    <w:p w:rsidR="00007C71" w:rsidRPr="002E0B26" w:rsidRDefault="00007C71" w:rsidP="00FF60FB">
      <w:pPr>
        <w:numPr>
          <w:ilvl w:val="1"/>
          <w:numId w:val="1"/>
        </w:numPr>
        <w:tabs>
          <w:tab w:val="clear" w:pos="1440"/>
          <w:tab w:val="num" w:pos="810"/>
        </w:tabs>
        <w:spacing w:after="0"/>
        <w:ind w:left="810" w:hanging="450"/>
        <w:rPr>
          <w:rFonts w:ascii="Arial Narrow" w:hAnsi="Arial Narrow"/>
        </w:rPr>
      </w:pPr>
      <w:r w:rsidRPr="002E0B26">
        <w:rPr>
          <w:rFonts w:ascii="Arial Narrow" w:hAnsi="Arial Narrow"/>
        </w:rPr>
        <w:t>Any successful online funds transfer.</w:t>
      </w:r>
    </w:p>
    <w:p w:rsidR="00007C71" w:rsidRPr="002E0B26" w:rsidRDefault="00007C71" w:rsidP="00FF60FB">
      <w:pPr>
        <w:numPr>
          <w:ilvl w:val="1"/>
          <w:numId w:val="1"/>
        </w:numPr>
        <w:tabs>
          <w:tab w:val="clear" w:pos="1440"/>
          <w:tab w:val="num" w:pos="810"/>
        </w:tabs>
        <w:spacing w:after="0"/>
        <w:ind w:left="810" w:hanging="450"/>
        <w:rPr>
          <w:rFonts w:ascii="Arial Narrow" w:hAnsi="Arial Narrow"/>
        </w:rPr>
      </w:pPr>
      <w:r w:rsidRPr="002E0B26">
        <w:rPr>
          <w:rFonts w:ascii="Arial Narrow" w:hAnsi="Arial Narrow"/>
        </w:rPr>
        <w:t>Credit entry for EPI passed in client ledger.</w:t>
      </w:r>
    </w:p>
    <w:p w:rsidR="00007C71" w:rsidRPr="002E0B26" w:rsidRDefault="00007C71" w:rsidP="00FF60FB">
      <w:pPr>
        <w:numPr>
          <w:ilvl w:val="1"/>
          <w:numId w:val="1"/>
        </w:numPr>
        <w:tabs>
          <w:tab w:val="clear" w:pos="1440"/>
          <w:tab w:val="num" w:pos="810"/>
        </w:tabs>
        <w:spacing w:after="0"/>
        <w:ind w:left="810" w:hanging="450"/>
        <w:jc w:val="both"/>
        <w:rPr>
          <w:rFonts w:ascii="Arial Narrow" w:hAnsi="Arial Narrow"/>
        </w:rPr>
      </w:pPr>
      <w:r w:rsidRPr="002E0B26">
        <w:rPr>
          <w:rFonts w:ascii="Arial Narrow" w:hAnsi="Arial Narrow"/>
        </w:rPr>
        <w:t>In case of Futures, Clients shall be allowed to trade only up to the applicable client wise position limits set by the Exchanges/Regulators from time to time.</w:t>
      </w:r>
    </w:p>
    <w:p w:rsidR="00FF60FB" w:rsidRDefault="00FF60FB" w:rsidP="00FF60FB">
      <w:pPr>
        <w:spacing w:after="0"/>
        <w:ind w:left="360"/>
        <w:rPr>
          <w:rFonts w:ascii="Arial Narrow" w:hAnsi="Arial Narrow"/>
        </w:rPr>
      </w:pPr>
    </w:p>
    <w:p w:rsidR="00007C71" w:rsidRPr="002E0B26" w:rsidRDefault="00007C71" w:rsidP="002E0B26">
      <w:pPr>
        <w:ind w:left="360"/>
        <w:rPr>
          <w:rFonts w:ascii="Arial Narrow" w:hAnsi="Arial Narrow"/>
        </w:rPr>
      </w:pPr>
      <w:r w:rsidRPr="002E0B26">
        <w:rPr>
          <w:rFonts w:ascii="Arial Narrow" w:hAnsi="Arial Narrow"/>
        </w:rPr>
        <w:t>Kindly Note:</w:t>
      </w:r>
      <w:r w:rsidR="000C54DC">
        <w:rPr>
          <w:rFonts w:ascii="Arial Narrow" w:hAnsi="Arial Narrow"/>
        </w:rPr>
        <w:t xml:space="preserve"> </w:t>
      </w:r>
      <w:r w:rsidRPr="002E0B26">
        <w:rPr>
          <w:rFonts w:ascii="Arial Narrow" w:hAnsi="Arial Narrow"/>
        </w:rPr>
        <w:t>-</w:t>
      </w:r>
    </w:p>
    <w:p w:rsidR="00007C71" w:rsidRPr="002E0B26" w:rsidRDefault="00007C71" w:rsidP="002E0B26">
      <w:pPr>
        <w:pStyle w:val="ListParagraph"/>
        <w:numPr>
          <w:ilvl w:val="0"/>
          <w:numId w:val="8"/>
        </w:numPr>
        <w:ind w:left="810" w:hanging="450"/>
        <w:jc w:val="both"/>
        <w:rPr>
          <w:rFonts w:ascii="Arial Narrow" w:hAnsi="Arial Narrow"/>
        </w:rPr>
      </w:pPr>
      <w:r w:rsidRPr="002E0B26">
        <w:rPr>
          <w:rFonts w:ascii="Arial Narrow" w:hAnsi="Arial Narrow"/>
        </w:rPr>
        <w:t xml:space="preserve">The exposure limits can be increased or decreased on the basis of </w:t>
      </w:r>
      <w:r w:rsidR="00214BE1" w:rsidRPr="002E0B26">
        <w:rPr>
          <w:rFonts w:ascii="Arial Narrow" w:hAnsi="Arial Narrow"/>
        </w:rPr>
        <w:t>client’s</w:t>
      </w:r>
      <w:r w:rsidRPr="002E0B26">
        <w:rPr>
          <w:rFonts w:ascii="Arial Narrow" w:hAnsi="Arial Narrow"/>
        </w:rPr>
        <w:t xml:space="preserve"> profile &amp; PFSPL’s risk appetite.</w:t>
      </w:r>
    </w:p>
    <w:p w:rsidR="00007C71" w:rsidRPr="002E0B26" w:rsidRDefault="00007C71" w:rsidP="002E0B26">
      <w:pPr>
        <w:pStyle w:val="ListParagraph"/>
        <w:numPr>
          <w:ilvl w:val="0"/>
          <w:numId w:val="8"/>
        </w:numPr>
        <w:ind w:left="810" w:hanging="450"/>
        <w:jc w:val="both"/>
        <w:rPr>
          <w:rFonts w:ascii="Arial Narrow" w:hAnsi="Arial Narrow"/>
        </w:rPr>
      </w:pPr>
      <w:r w:rsidRPr="002E0B26">
        <w:rPr>
          <w:rFonts w:ascii="Arial Narrow" w:hAnsi="Arial Narrow"/>
        </w:rPr>
        <w:t>In addition to above, PFSPL may apply specific scrip wise Margin as prescribed by Exchange from time to time.</w:t>
      </w:r>
    </w:p>
    <w:p w:rsidR="00007C71" w:rsidRPr="002E0B26" w:rsidRDefault="00007C71" w:rsidP="00007C71">
      <w:pPr>
        <w:rPr>
          <w:rFonts w:ascii="Arial Narrow" w:hAnsi="Arial Narrow"/>
        </w:rPr>
      </w:pPr>
      <w:r w:rsidRPr="002E0B26">
        <w:rPr>
          <w:rFonts w:ascii="Arial Narrow" w:hAnsi="Arial Narrow"/>
        </w:rPr>
        <w:t>PFSPL shall not be responsible for any delay/non-receipt of link/OTP from depositories for creation of pledge or non-confirmation of pledge request by the client or due to any other issue at depository as well as at PFSPL’s end.</w:t>
      </w:r>
    </w:p>
    <w:tbl>
      <w:tblPr>
        <w:tblW w:w="0" w:type="auto"/>
        <w:tblInd w:w="82" w:type="dxa"/>
        <w:tblCellMar>
          <w:left w:w="0" w:type="dxa"/>
          <w:right w:w="0" w:type="dxa"/>
        </w:tblCellMar>
        <w:tblLook w:val="04A0" w:firstRow="1" w:lastRow="0" w:firstColumn="1" w:lastColumn="0" w:noHBand="0" w:noVBand="1"/>
      </w:tblPr>
      <w:tblGrid>
        <w:gridCol w:w="720"/>
        <w:gridCol w:w="1700"/>
        <w:gridCol w:w="7948"/>
      </w:tblGrid>
      <w:tr w:rsidR="00007C71" w:rsidRPr="002E0B26" w:rsidTr="000C54DC">
        <w:trPr>
          <w:trHeight w:val="309"/>
        </w:trPr>
        <w:tc>
          <w:tcPr>
            <w:tcW w:w="72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spacing w:after="0"/>
              <w:rPr>
                <w:rFonts w:ascii="Arial Narrow" w:hAnsi="Arial Narrow"/>
                <w:b/>
                <w:bCs/>
              </w:rPr>
            </w:pPr>
            <w:r w:rsidRPr="002E0B26">
              <w:rPr>
                <w:rFonts w:ascii="Arial Narrow" w:hAnsi="Arial Narrow"/>
                <w:b/>
                <w:bCs/>
              </w:rPr>
              <w:t>Sr. No.</w:t>
            </w:r>
          </w:p>
        </w:tc>
        <w:tc>
          <w:tcPr>
            <w:tcW w:w="170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spacing w:after="0"/>
              <w:rPr>
                <w:rFonts w:ascii="Arial Narrow" w:hAnsi="Arial Narrow"/>
                <w:b/>
                <w:bCs/>
              </w:rPr>
            </w:pPr>
            <w:r w:rsidRPr="002E0B26">
              <w:rPr>
                <w:rFonts w:ascii="Arial Narrow" w:hAnsi="Arial Narrow"/>
                <w:b/>
                <w:bCs/>
              </w:rPr>
              <w:t>Particulars</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spacing w:after="0"/>
              <w:rPr>
                <w:rFonts w:ascii="Arial Narrow" w:hAnsi="Arial Narrow"/>
                <w:b/>
                <w:bCs/>
              </w:rPr>
            </w:pPr>
            <w:r w:rsidRPr="002E0B26">
              <w:rPr>
                <w:rFonts w:ascii="Arial Narrow" w:hAnsi="Arial Narrow"/>
                <w:b/>
                <w:bCs/>
              </w:rPr>
              <w:t>Limits</w:t>
            </w:r>
          </w:p>
        </w:tc>
      </w:tr>
      <w:tr w:rsidR="00007C71" w:rsidRPr="002E0B26" w:rsidTr="000C54DC">
        <w:tc>
          <w:tcPr>
            <w:tcW w:w="72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jc w:val="center"/>
              <w:rPr>
                <w:rFonts w:ascii="Arial Narrow" w:hAnsi="Arial Narrow"/>
              </w:rPr>
            </w:pPr>
            <w:r w:rsidRPr="002E0B26">
              <w:rPr>
                <w:rFonts w:ascii="Arial Narrow" w:hAnsi="Arial Narrow"/>
              </w:rPr>
              <w:t>1</w:t>
            </w:r>
          </w:p>
        </w:tc>
        <w:tc>
          <w:tcPr>
            <w:tcW w:w="170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Intraday Limits</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Intra-day existing available limits will be available to the extent of (</w:t>
            </w:r>
            <w:proofErr w:type="spellStart"/>
            <w:r w:rsidRPr="002E0B26">
              <w:rPr>
                <w:rFonts w:ascii="Arial Narrow" w:hAnsi="Arial Narrow"/>
              </w:rPr>
              <w:t>VaR</w:t>
            </w:r>
            <w:proofErr w:type="spellEnd"/>
            <w:r w:rsidRPr="002E0B26">
              <w:rPr>
                <w:rFonts w:ascii="Arial Narrow" w:hAnsi="Arial Narrow"/>
              </w:rPr>
              <w:t xml:space="preserve"> + ELM + </w:t>
            </w:r>
            <w:proofErr w:type="spellStart"/>
            <w:r w:rsidRPr="002E0B26">
              <w:rPr>
                <w:rFonts w:ascii="Arial Narrow" w:hAnsi="Arial Narrow"/>
              </w:rPr>
              <w:t>Adhoc</w:t>
            </w:r>
            <w:proofErr w:type="spellEnd"/>
            <w:r w:rsidRPr="002E0B26">
              <w:rPr>
                <w:rFonts w:ascii="Arial Narrow" w:hAnsi="Arial Narrow"/>
              </w:rPr>
              <w:t>) % or minimum % as prescribed by the Exchanges in cash segment from time to time and (Span Margin + ELM) % in FO segment. Leverage shall be provided considering scrip wise position and market conditions at the discretion of Risk team from time to time. M to M will be charged over and above available margins as and when required. Any square off on account of an Intra-day transaction would release the blocked margin after adjusting realised losses/charges. Open positions</w:t>
            </w:r>
            <w:r w:rsidR="00214BE1" w:rsidRPr="002E0B26">
              <w:rPr>
                <w:rFonts w:ascii="Arial Narrow" w:hAnsi="Arial Narrow"/>
              </w:rPr>
              <w:t xml:space="preserve"> may be</w:t>
            </w:r>
            <w:r w:rsidRPr="002E0B26">
              <w:rPr>
                <w:rFonts w:ascii="Arial Narrow" w:hAnsi="Arial Narrow"/>
              </w:rPr>
              <w:t xml:space="preserve"> squared off </w:t>
            </w:r>
            <w:r w:rsidR="00214BE1" w:rsidRPr="002E0B26">
              <w:rPr>
                <w:rFonts w:ascii="Arial Narrow" w:hAnsi="Arial Narrow"/>
              </w:rPr>
              <w:t xml:space="preserve">before Close of market </w:t>
            </w:r>
            <w:r w:rsidRPr="002E0B26">
              <w:rPr>
                <w:rFonts w:ascii="Arial Narrow" w:hAnsi="Arial Narrow"/>
              </w:rPr>
              <w:t>by the risk team depending on shortfall in margin or due to other risk parameters.</w:t>
            </w:r>
          </w:p>
        </w:tc>
      </w:tr>
      <w:tr w:rsidR="00007C71" w:rsidRPr="002E0B26" w:rsidTr="000C54DC">
        <w:tc>
          <w:tcPr>
            <w:tcW w:w="72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jc w:val="center"/>
              <w:rPr>
                <w:rFonts w:ascii="Arial Narrow" w:hAnsi="Arial Narrow"/>
              </w:rPr>
            </w:pPr>
            <w:r w:rsidRPr="002E0B26">
              <w:rPr>
                <w:rFonts w:ascii="Arial Narrow" w:hAnsi="Arial Narrow"/>
              </w:rPr>
              <w:t>2</w:t>
            </w:r>
          </w:p>
        </w:tc>
        <w:tc>
          <w:tcPr>
            <w:tcW w:w="170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Carry Forward</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Clients with sufficient Cash balance shall be allowed to Carry Forward their positions depending upon the product subscribed by the client</w:t>
            </w:r>
            <w:r w:rsidRPr="002E0B26">
              <w:rPr>
                <w:rFonts w:ascii="Arial Narrow" w:hAnsi="Arial Narrow"/>
              </w:rPr>
              <w:br/>
            </w:r>
            <w:r w:rsidRPr="002E0B26">
              <w:rPr>
                <w:rFonts w:ascii="Arial Narrow" w:hAnsi="Arial Narrow"/>
              </w:rPr>
              <w:lastRenderedPageBreak/>
              <w:t>For F&amp;O, client can carry forward their positions after giving sufficient margin in the form of Cash and/ or Collaterals.</w:t>
            </w:r>
          </w:p>
        </w:tc>
      </w:tr>
      <w:tr w:rsidR="00007C71" w:rsidRPr="002E0B26" w:rsidTr="000C54DC">
        <w:tc>
          <w:tcPr>
            <w:tcW w:w="72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C54DC">
            <w:pPr>
              <w:jc w:val="center"/>
              <w:rPr>
                <w:rFonts w:ascii="Arial Narrow" w:hAnsi="Arial Narrow"/>
              </w:rPr>
            </w:pPr>
            <w:r w:rsidRPr="002E0B26">
              <w:rPr>
                <w:rFonts w:ascii="Arial Narrow" w:hAnsi="Arial Narrow"/>
              </w:rPr>
              <w:lastRenderedPageBreak/>
              <w:t>3</w:t>
            </w:r>
          </w:p>
        </w:tc>
        <w:tc>
          <w:tcPr>
            <w:tcW w:w="1700" w:type="dxa"/>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Square off Criteria and Timing</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numPr>
                <w:ilvl w:val="1"/>
                <w:numId w:val="5"/>
              </w:numPr>
              <w:rPr>
                <w:rFonts w:ascii="Arial Narrow" w:hAnsi="Arial Narrow"/>
              </w:rPr>
            </w:pPr>
            <w:r w:rsidRPr="002E0B26">
              <w:rPr>
                <w:rFonts w:ascii="Arial Narrow" w:hAnsi="Arial Narrow"/>
              </w:rPr>
              <w:t>MTM square off: At any given point in time if the MTM level of the client breaches 50% minimum or as defined by the risk team of his available margin, the risk team would square off the relevant positions of the client. The final discretion will be of the Risk Team at all the times.</w:t>
            </w:r>
          </w:p>
          <w:p w:rsidR="00007C71" w:rsidRPr="002E0B26" w:rsidRDefault="00007C71" w:rsidP="00007C71">
            <w:pPr>
              <w:numPr>
                <w:ilvl w:val="1"/>
                <w:numId w:val="5"/>
              </w:numPr>
              <w:rPr>
                <w:rFonts w:ascii="Arial Narrow" w:hAnsi="Arial Narrow"/>
              </w:rPr>
            </w:pPr>
            <w:r w:rsidRPr="002E0B26">
              <w:rPr>
                <w:rFonts w:ascii="Arial Narrow" w:hAnsi="Arial Narrow"/>
              </w:rPr>
              <w:t>Margin square off: if clients does not clear settlement / margin shortfall within the stipulated time.</w:t>
            </w:r>
          </w:p>
          <w:p w:rsidR="00007C71" w:rsidRPr="002E0B26" w:rsidRDefault="00007C71" w:rsidP="00007C71">
            <w:pPr>
              <w:numPr>
                <w:ilvl w:val="1"/>
                <w:numId w:val="5"/>
              </w:numPr>
              <w:rPr>
                <w:rFonts w:ascii="Arial Narrow" w:hAnsi="Arial Narrow"/>
              </w:rPr>
            </w:pPr>
            <w:r w:rsidRPr="002E0B26">
              <w:rPr>
                <w:rFonts w:ascii="Arial Narrow" w:hAnsi="Arial Narrow"/>
              </w:rPr>
              <w:t>ADHOC Square off: It may be initiated due to conditions such as stock hitting circuit, physical delivery, market circuit etc. at the discretion of the risk team</w:t>
            </w:r>
          </w:p>
          <w:p w:rsidR="00007C71" w:rsidRPr="002E0B26" w:rsidRDefault="00007C71" w:rsidP="00007C71">
            <w:pPr>
              <w:rPr>
                <w:rFonts w:ascii="Arial Narrow" w:hAnsi="Arial Narrow"/>
              </w:rPr>
            </w:pPr>
            <w:r w:rsidRPr="002E0B26">
              <w:rPr>
                <w:rFonts w:ascii="Arial Narrow" w:hAnsi="Arial Narrow"/>
              </w:rPr>
              <w:t>Note: It would be client responsibility to ensure that sufficient margin is available at all the times.</w:t>
            </w:r>
          </w:p>
        </w:tc>
      </w:tr>
    </w:tbl>
    <w:p w:rsidR="00214BE1" w:rsidRPr="002E0B26" w:rsidRDefault="00214BE1" w:rsidP="00FF60FB">
      <w:pPr>
        <w:spacing w:after="0"/>
        <w:ind w:left="720"/>
        <w:rPr>
          <w:rFonts w:ascii="Arial Narrow" w:hAnsi="Arial Narrow"/>
          <w:b/>
          <w:bCs/>
        </w:rPr>
      </w:pPr>
    </w:p>
    <w:p w:rsidR="00007C71" w:rsidRPr="002E0B26" w:rsidRDefault="00007C71" w:rsidP="000C54DC">
      <w:pPr>
        <w:numPr>
          <w:ilvl w:val="0"/>
          <w:numId w:val="1"/>
        </w:numPr>
        <w:ind w:hanging="630"/>
        <w:rPr>
          <w:rFonts w:ascii="Arial Narrow" w:hAnsi="Arial Narrow"/>
          <w:b/>
          <w:bCs/>
        </w:rPr>
      </w:pPr>
      <w:r w:rsidRPr="002E0B26">
        <w:rPr>
          <w:rFonts w:ascii="Arial Narrow" w:hAnsi="Arial Narrow"/>
          <w:b/>
          <w:bCs/>
        </w:rPr>
        <w:t>Setting up Terminal Level Limits</w:t>
      </w:r>
    </w:p>
    <w:p w:rsidR="000C54DC" w:rsidRDefault="00007C71" w:rsidP="000C54DC">
      <w:pPr>
        <w:ind w:left="720"/>
        <w:jc w:val="both"/>
        <w:rPr>
          <w:rFonts w:ascii="Arial Narrow" w:hAnsi="Arial Narrow"/>
        </w:rPr>
      </w:pPr>
      <w:r w:rsidRPr="002E0B26">
        <w:rPr>
          <w:rFonts w:ascii="Arial Narrow" w:hAnsi="Arial Narrow"/>
        </w:rPr>
        <w:t>Trading Terminals are allotted to PFSPL by Exchanges. These CTCL terminals enable PFSPL to place, modify and execute orders on behalf of clients. There may be instances where due to punching error or technical issues, unusual orders may be placed at high prices which might lead to execution of unrealistic orders or orders being executed at unrealistic prices. In cases where the order/price of such orders is high, it might lead to huge losses to PFSPL. In order to avoid such a situation, it is imperative that certain limits are prescribed for each terminal allotted to PFSPL.</w:t>
      </w:r>
    </w:p>
    <w:p w:rsidR="00007C71" w:rsidRPr="002E0B26" w:rsidRDefault="00007C71" w:rsidP="000C54DC">
      <w:pPr>
        <w:ind w:left="720"/>
        <w:jc w:val="both"/>
        <w:rPr>
          <w:rFonts w:ascii="Arial Narrow" w:hAnsi="Arial Narrow"/>
        </w:rPr>
      </w:pPr>
      <w:r w:rsidRPr="002E0B26">
        <w:rPr>
          <w:rFonts w:ascii="Arial Narrow" w:hAnsi="Arial Narrow"/>
        </w:rPr>
        <w:t>PFSPL shall ensure documentation of internal controls on areas like order modification / cancellation, client code changes and post-trade activities are in place and are being updated from time-to-time.</w:t>
      </w:r>
    </w:p>
    <w:p w:rsidR="00007C71" w:rsidRPr="002E0B26" w:rsidRDefault="00007C71" w:rsidP="000C54DC">
      <w:pPr>
        <w:ind w:left="720"/>
        <w:jc w:val="both"/>
        <w:rPr>
          <w:rFonts w:ascii="Arial Narrow" w:hAnsi="Arial Narrow"/>
        </w:rPr>
      </w:pPr>
      <w:r w:rsidRPr="002E0B26">
        <w:rPr>
          <w:rFonts w:ascii="Arial Narrow" w:hAnsi="Arial Narrow"/>
        </w:rPr>
        <w:t>The following limits shall be defined for each terminal:</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Quantity Limit for each order</w:t>
      </w:r>
    </w:p>
    <w:p w:rsidR="00007C71" w:rsidRPr="002E0B26" w:rsidRDefault="00007C71" w:rsidP="00FF60FB">
      <w:pPr>
        <w:numPr>
          <w:ilvl w:val="1"/>
          <w:numId w:val="1"/>
        </w:numPr>
        <w:spacing w:after="0"/>
        <w:jc w:val="both"/>
        <w:rPr>
          <w:rFonts w:ascii="Arial Narrow" w:hAnsi="Arial Narrow"/>
        </w:rPr>
      </w:pPr>
      <w:r w:rsidRPr="002E0B26">
        <w:rPr>
          <w:rFonts w:ascii="Arial Narrow" w:hAnsi="Arial Narrow"/>
        </w:rPr>
        <w:t>In cases where a large trade is to be done, dealer can intimate the Risk Team of the higher limit requirement and the Risk Team can raise the limit accordingly.</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Value Limit for each order</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Turnover Limit for each user ID</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Pending Order Limit for each ID</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Member Level Turnover Limit</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Spread Order Quantity and Value Limit (For all Segment) Checks in place</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A dedicated Risk monitoring team to monitor the exposure, limit, etc.</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RMS Terminal which has a facility to block the client as well as restrict to use over exposure.</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Terminals limits will be set up by the Front Office official designated at Correspondence Office.</w:t>
      </w:r>
    </w:p>
    <w:p w:rsidR="00007C71" w:rsidRPr="002E0B26" w:rsidRDefault="00007C71" w:rsidP="00FF60FB">
      <w:pPr>
        <w:numPr>
          <w:ilvl w:val="1"/>
          <w:numId w:val="1"/>
        </w:numPr>
        <w:spacing w:after="0"/>
        <w:rPr>
          <w:rFonts w:ascii="Arial Narrow" w:hAnsi="Arial Narrow"/>
        </w:rPr>
      </w:pPr>
      <w:r w:rsidRPr="002E0B26">
        <w:rPr>
          <w:rFonts w:ascii="Arial Narrow" w:hAnsi="Arial Narrow"/>
        </w:rPr>
        <w:t>No user will be provided unlimited limit.</w:t>
      </w:r>
    </w:p>
    <w:p w:rsidR="00007C71" w:rsidRPr="002E0B26" w:rsidRDefault="00007C71" w:rsidP="00FF60FB">
      <w:pPr>
        <w:numPr>
          <w:ilvl w:val="1"/>
          <w:numId w:val="1"/>
        </w:numPr>
        <w:spacing w:after="0"/>
        <w:jc w:val="both"/>
        <w:rPr>
          <w:rFonts w:ascii="Arial Narrow" w:hAnsi="Arial Narrow"/>
        </w:rPr>
      </w:pPr>
      <w:r w:rsidRPr="002E0B26">
        <w:rPr>
          <w:rFonts w:ascii="Arial Narrow" w:hAnsi="Arial Narrow"/>
        </w:rPr>
        <w:lastRenderedPageBreak/>
        <w:t>Limits shall be monitored on daily basis, taking following criteria’s: Turnover, Exposure, past trends, Location, Deposit/Collateral, etc.</w:t>
      </w:r>
    </w:p>
    <w:p w:rsidR="00007C71" w:rsidRDefault="00007C71" w:rsidP="00FF60FB">
      <w:pPr>
        <w:numPr>
          <w:ilvl w:val="1"/>
          <w:numId w:val="1"/>
        </w:numPr>
        <w:spacing w:after="0"/>
        <w:rPr>
          <w:rFonts w:ascii="Arial Narrow" w:hAnsi="Arial Narrow"/>
        </w:rPr>
      </w:pPr>
      <w:r w:rsidRPr="002E0B26">
        <w:rPr>
          <w:rFonts w:ascii="Arial Narrow" w:hAnsi="Arial Narrow"/>
        </w:rPr>
        <w:t>Any other limits as prescribed by Exchanges from time to time.</w:t>
      </w:r>
    </w:p>
    <w:p w:rsidR="00FF60FB" w:rsidRPr="002E0B26" w:rsidRDefault="00FF60FB" w:rsidP="00FF60FB">
      <w:pPr>
        <w:spacing w:after="0"/>
        <w:ind w:left="1440"/>
        <w:rPr>
          <w:rFonts w:ascii="Arial Narrow" w:hAnsi="Arial Narrow"/>
        </w:rPr>
      </w:pPr>
    </w:p>
    <w:p w:rsidR="00007C71" w:rsidRPr="000C54DC" w:rsidRDefault="00007C71" w:rsidP="000C54DC">
      <w:pPr>
        <w:pStyle w:val="ListParagraph"/>
        <w:numPr>
          <w:ilvl w:val="0"/>
          <w:numId w:val="9"/>
        </w:numPr>
        <w:ind w:hanging="630"/>
        <w:rPr>
          <w:rFonts w:ascii="Arial Narrow" w:hAnsi="Arial Narrow"/>
          <w:b/>
          <w:bCs/>
        </w:rPr>
      </w:pPr>
      <w:r w:rsidRPr="000C54DC">
        <w:rPr>
          <w:rFonts w:ascii="Arial Narrow" w:hAnsi="Arial Narrow"/>
          <w:b/>
          <w:bCs/>
        </w:rPr>
        <w:t>Trading in New Listing:</w:t>
      </w:r>
    </w:p>
    <w:p w:rsidR="00007C71" w:rsidRPr="002E0B26" w:rsidRDefault="00007C71" w:rsidP="000C54DC">
      <w:pPr>
        <w:ind w:left="720"/>
        <w:jc w:val="both"/>
        <w:rPr>
          <w:rFonts w:ascii="Arial Narrow" w:hAnsi="Arial Narrow"/>
        </w:rPr>
      </w:pPr>
      <w:r w:rsidRPr="002E0B26">
        <w:rPr>
          <w:rFonts w:ascii="Arial Narrow" w:hAnsi="Arial Narrow"/>
        </w:rPr>
        <w:t>Newly listed shares (usually do not have any DPR), shares are subject to the high market risks. Dealing in these securities will be allowed after verification of credit balance and M-to-M levels and shall also be subject to certain conditions as it may deem fit and proper in its absolute discretion.</w:t>
      </w:r>
    </w:p>
    <w:p w:rsidR="00007C71" w:rsidRPr="002E0B26" w:rsidRDefault="00007C71" w:rsidP="000C54DC">
      <w:pPr>
        <w:ind w:left="720"/>
        <w:jc w:val="both"/>
        <w:rPr>
          <w:rFonts w:ascii="Arial Narrow" w:hAnsi="Arial Narrow"/>
        </w:rPr>
      </w:pPr>
      <w:r w:rsidRPr="002E0B26">
        <w:rPr>
          <w:rFonts w:ascii="Arial Narrow" w:hAnsi="Arial Narrow"/>
        </w:rPr>
        <w:t xml:space="preserve">Risk team shall restrict Order Quantity/Value for IPO/OFS on the day of listing. </w:t>
      </w:r>
      <w:r w:rsidR="00214BE1" w:rsidRPr="002E0B26">
        <w:rPr>
          <w:rFonts w:ascii="Arial Narrow" w:hAnsi="Arial Narrow"/>
        </w:rPr>
        <w:t>Also,</w:t>
      </w:r>
      <w:r w:rsidRPr="002E0B26">
        <w:rPr>
          <w:rFonts w:ascii="Arial Narrow" w:hAnsi="Arial Narrow"/>
        </w:rPr>
        <w:t xml:space="preserve"> Margin / Limits shall be set for the same considering various factors like size of IPO, allotment, floor price, etc. by Risk team.</w:t>
      </w:r>
    </w:p>
    <w:p w:rsidR="00007C71" w:rsidRPr="000C54DC" w:rsidRDefault="00007C71" w:rsidP="000C54DC">
      <w:pPr>
        <w:pStyle w:val="ListParagraph"/>
        <w:numPr>
          <w:ilvl w:val="0"/>
          <w:numId w:val="9"/>
        </w:numPr>
        <w:ind w:hanging="630"/>
        <w:rPr>
          <w:rFonts w:ascii="Arial Narrow" w:hAnsi="Arial Narrow"/>
          <w:b/>
          <w:bCs/>
        </w:rPr>
      </w:pPr>
      <w:r w:rsidRPr="000C54DC">
        <w:rPr>
          <w:rFonts w:ascii="Arial Narrow" w:hAnsi="Arial Narrow"/>
          <w:b/>
          <w:bCs/>
        </w:rPr>
        <w:t>Trading in Illiquid Scrips/Penny Stocks:</w:t>
      </w:r>
    </w:p>
    <w:p w:rsidR="00007C71" w:rsidRPr="002E0B26" w:rsidRDefault="00007C71" w:rsidP="000C54DC">
      <w:pPr>
        <w:ind w:left="720"/>
        <w:jc w:val="both"/>
        <w:rPr>
          <w:rFonts w:ascii="Arial Narrow" w:hAnsi="Arial Narrow"/>
        </w:rPr>
      </w:pPr>
      <w:r w:rsidRPr="002E0B26">
        <w:rPr>
          <w:rFonts w:ascii="Arial Narrow" w:hAnsi="Arial Narrow"/>
        </w:rPr>
        <w:t>As a part of Due Diligence, Illiquid Securities/Trade to Trade shares/Penny Stocks and Scrips with less volume in FO segment may be restricted by Risk team. The list of such Restricted Scrips shall also include GSM/ASM/SMS List and will change from time to time.</w:t>
      </w:r>
    </w:p>
    <w:p w:rsidR="00007C71" w:rsidRPr="002E0B26" w:rsidRDefault="00007C71" w:rsidP="000C54DC">
      <w:pPr>
        <w:numPr>
          <w:ilvl w:val="0"/>
          <w:numId w:val="1"/>
        </w:numPr>
        <w:ind w:hanging="630"/>
        <w:rPr>
          <w:rFonts w:ascii="Arial Narrow" w:hAnsi="Arial Narrow"/>
          <w:b/>
          <w:bCs/>
        </w:rPr>
      </w:pPr>
      <w:r w:rsidRPr="002E0B26">
        <w:rPr>
          <w:rFonts w:ascii="Arial Narrow" w:hAnsi="Arial Narrow"/>
          <w:b/>
          <w:bCs/>
        </w:rPr>
        <w:t>Order Receipt &amp; Execution:</w:t>
      </w:r>
    </w:p>
    <w:p w:rsidR="00007C71" w:rsidRPr="002E0B26" w:rsidRDefault="00007C71" w:rsidP="000C54DC">
      <w:pPr>
        <w:numPr>
          <w:ilvl w:val="1"/>
          <w:numId w:val="1"/>
        </w:numPr>
        <w:tabs>
          <w:tab w:val="clear" w:pos="1440"/>
          <w:tab w:val="num" w:pos="1080"/>
        </w:tabs>
        <w:ind w:left="1080"/>
        <w:jc w:val="both"/>
        <w:rPr>
          <w:rFonts w:ascii="Arial Narrow" w:hAnsi="Arial Narrow"/>
        </w:rPr>
      </w:pPr>
      <w:r w:rsidRPr="002E0B26">
        <w:rPr>
          <w:rFonts w:ascii="Arial Narrow" w:hAnsi="Arial Narrow"/>
        </w:rPr>
        <w:t>All orders routed through RMS are monitored by PFSPL's risk department and after confirmation about client’s margin status (availability of prescribed margin), order shall get executed.</w:t>
      </w:r>
    </w:p>
    <w:p w:rsidR="00007C71" w:rsidRPr="002E0B26" w:rsidRDefault="00007C71" w:rsidP="000C54DC">
      <w:pPr>
        <w:numPr>
          <w:ilvl w:val="1"/>
          <w:numId w:val="1"/>
        </w:numPr>
        <w:tabs>
          <w:tab w:val="clear" w:pos="1440"/>
          <w:tab w:val="num" w:pos="1080"/>
        </w:tabs>
        <w:ind w:left="1080"/>
        <w:jc w:val="both"/>
        <w:rPr>
          <w:rFonts w:ascii="Arial Narrow" w:hAnsi="Arial Narrow"/>
        </w:rPr>
      </w:pPr>
      <w:r w:rsidRPr="002E0B26">
        <w:rPr>
          <w:rFonts w:ascii="Arial Narrow" w:hAnsi="Arial Narrow"/>
        </w:rPr>
        <w:t xml:space="preserve">Clients can enter trades primarily through Mobile App and / or Desktop Application. Order confirmation screen is displayed in order to confirm the trade details entered. Further, trade executed only if all the parameters are </w:t>
      </w:r>
      <w:proofErr w:type="spellStart"/>
      <w:r w:rsidRPr="002E0B26">
        <w:rPr>
          <w:rFonts w:ascii="Arial Narrow" w:hAnsi="Arial Narrow"/>
        </w:rPr>
        <w:t>complied</w:t>
      </w:r>
      <w:proofErr w:type="spellEnd"/>
      <w:r w:rsidRPr="002E0B26">
        <w:rPr>
          <w:rFonts w:ascii="Arial Narrow" w:hAnsi="Arial Narrow"/>
        </w:rPr>
        <w:t xml:space="preserve"> for execution else the trade will be rejected.</w:t>
      </w:r>
    </w:p>
    <w:p w:rsidR="00007C71" w:rsidRPr="002E0B26" w:rsidRDefault="00007C71" w:rsidP="000C54DC">
      <w:pPr>
        <w:numPr>
          <w:ilvl w:val="1"/>
          <w:numId w:val="1"/>
        </w:numPr>
        <w:tabs>
          <w:tab w:val="clear" w:pos="1440"/>
          <w:tab w:val="num" w:pos="1080"/>
        </w:tabs>
        <w:ind w:left="1080"/>
        <w:jc w:val="both"/>
        <w:rPr>
          <w:rFonts w:ascii="Arial Narrow" w:hAnsi="Arial Narrow"/>
        </w:rPr>
      </w:pPr>
      <w:r w:rsidRPr="002E0B26">
        <w:rPr>
          <w:rFonts w:ascii="Arial Narrow" w:hAnsi="Arial Narrow"/>
        </w:rPr>
        <w:t>The dealers shall take utmost care while executing the trades of the clients regarding the accuracy of Client Code, Quantity and Price etc. The orders from the clients are promptly executed by the dealers and the order confirmation of the placement of the orders is immediately provided to the clients. Moreover, only registered dealers are allowed to enter the dealing room for placing the orders.</w:t>
      </w:r>
    </w:p>
    <w:p w:rsidR="00007C71" w:rsidRPr="002E0B26" w:rsidRDefault="00007C71" w:rsidP="000C54DC">
      <w:pPr>
        <w:numPr>
          <w:ilvl w:val="1"/>
          <w:numId w:val="1"/>
        </w:numPr>
        <w:tabs>
          <w:tab w:val="clear" w:pos="1440"/>
          <w:tab w:val="num" w:pos="1080"/>
        </w:tabs>
        <w:ind w:left="1080"/>
        <w:jc w:val="both"/>
        <w:rPr>
          <w:rFonts w:ascii="Arial Narrow" w:hAnsi="Arial Narrow"/>
        </w:rPr>
      </w:pPr>
      <w:r w:rsidRPr="002E0B26">
        <w:rPr>
          <w:rFonts w:ascii="Arial Narrow" w:hAnsi="Arial Narrow"/>
        </w:rPr>
        <w:t>Any communication gap in receiving orders from the client also poses a risk to the PFSPL. Accordingly, order from clients shall be received only through such means of communication which leave an audit trail.</w:t>
      </w:r>
      <w:r w:rsidRPr="002E0B26">
        <w:rPr>
          <w:rFonts w:ascii="Arial Narrow" w:hAnsi="Arial Narrow"/>
        </w:rPr>
        <w:br/>
        <w:t>PFSPL shall execute trades of clients only after keeping evidence of the client placing such order; it could be, inter alia, in the form of:</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Physical record written &amp; signed by client,</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Telephone recording,</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Email from authorized email id,</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Log for internet transactions,</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Record of SMS messages,</w:t>
      </w:r>
    </w:p>
    <w:p w:rsidR="00007C71" w:rsidRPr="002E0B26" w:rsidRDefault="00007C71" w:rsidP="00FF60FB">
      <w:pPr>
        <w:numPr>
          <w:ilvl w:val="2"/>
          <w:numId w:val="1"/>
        </w:numPr>
        <w:spacing w:after="0"/>
        <w:rPr>
          <w:rFonts w:ascii="Arial Narrow" w:hAnsi="Arial Narrow"/>
        </w:rPr>
      </w:pPr>
      <w:r w:rsidRPr="002E0B26">
        <w:rPr>
          <w:rFonts w:ascii="Arial Narrow" w:hAnsi="Arial Narrow"/>
        </w:rPr>
        <w:t>Any other legally verifiable record.</w:t>
      </w:r>
    </w:p>
    <w:p w:rsidR="00007C71" w:rsidRPr="002E0B26" w:rsidRDefault="00007C71" w:rsidP="000C54DC">
      <w:pPr>
        <w:numPr>
          <w:ilvl w:val="1"/>
          <w:numId w:val="1"/>
        </w:numPr>
        <w:tabs>
          <w:tab w:val="clear" w:pos="1440"/>
          <w:tab w:val="num" w:pos="1080"/>
        </w:tabs>
        <w:ind w:left="1080"/>
        <w:rPr>
          <w:rFonts w:ascii="Arial Narrow" w:hAnsi="Arial Narrow"/>
        </w:rPr>
      </w:pPr>
      <w:r w:rsidRPr="002E0B26">
        <w:rPr>
          <w:rFonts w:ascii="Arial Narrow" w:hAnsi="Arial Narrow"/>
        </w:rPr>
        <w:lastRenderedPageBreak/>
        <w:t>Further, wherever the order instructions are received from clients through the telephone, the PFSPL shall mandatorily use telephone recording system to record the instructions and maintain telephone recordings as part of its records</w:t>
      </w:r>
    </w:p>
    <w:p w:rsidR="00007C71" w:rsidRPr="002E0B26" w:rsidRDefault="00007C71" w:rsidP="000C54DC">
      <w:pPr>
        <w:numPr>
          <w:ilvl w:val="1"/>
          <w:numId w:val="1"/>
        </w:numPr>
        <w:tabs>
          <w:tab w:val="clear" w:pos="1440"/>
          <w:tab w:val="num" w:pos="1080"/>
        </w:tabs>
        <w:ind w:left="1080"/>
        <w:rPr>
          <w:rFonts w:ascii="Arial Narrow" w:hAnsi="Arial Narrow"/>
        </w:rPr>
      </w:pPr>
      <w:r w:rsidRPr="002E0B26">
        <w:rPr>
          <w:rFonts w:ascii="Arial Narrow" w:hAnsi="Arial Narrow"/>
        </w:rPr>
        <w:t>A record of error trades will be kept separately and authorisation will be taken from authorised personnel for such orders.</w:t>
      </w:r>
    </w:p>
    <w:p w:rsidR="00007C71" w:rsidRPr="002E0B26" w:rsidRDefault="00007C71" w:rsidP="000C54DC">
      <w:pPr>
        <w:numPr>
          <w:ilvl w:val="1"/>
          <w:numId w:val="1"/>
        </w:numPr>
        <w:tabs>
          <w:tab w:val="clear" w:pos="1440"/>
          <w:tab w:val="num" w:pos="1080"/>
        </w:tabs>
        <w:ind w:left="1080"/>
        <w:rPr>
          <w:rFonts w:ascii="Arial Narrow" w:hAnsi="Arial Narrow"/>
        </w:rPr>
      </w:pPr>
      <w:r w:rsidRPr="002E0B26">
        <w:rPr>
          <w:rFonts w:ascii="Arial Narrow" w:hAnsi="Arial Narrow"/>
        </w:rPr>
        <w:t>Specific Orders :</w:t>
      </w:r>
      <w:r w:rsidRPr="002E0B26">
        <w:rPr>
          <w:rFonts w:ascii="Arial Narrow" w:hAnsi="Arial Narrow"/>
        </w:rPr>
        <w:br/>
        <w:t>Bulk / Block deal: Prior approval from Risk &amp; compliance shall be required. Bracket Order and Cover Order (BO &amp; CO): It shall be permitted subject to restrictions. Risk team will clearly specify scrip, quantity and value restrictions with respect to BO &amp; CO orders in Cash and FO segment during market hours</w:t>
      </w:r>
      <w:r w:rsidRPr="002E0B26">
        <w:rPr>
          <w:rFonts w:ascii="Arial Narrow" w:hAnsi="Arial Narrow"/>
        </w:rPr>
        <w:br/>
        <w:t>After Market Orders (AMO) Orders: It shall be allowed for pre-fixed timings by Risk team and shall be subject to Minimum Order Value. Such orders will stand cancelled if placed without sufficient margin. AMO orders will be revalidated by Risk team before they are placed in Market.</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Monitoring of Debit Balances</w:t>
      </w:r>
    </w:p>
    <w:p w:rsidR="00830418" w:rsidRPr="002E0B26" w:rsidRDefault="00007C71" w:rsidP="001F2DEC">
      <w:pPr>
        <w:ind w:left="720"/>
        <w:jc w:val="both"/>
        <w:rPr>
          <w:rFonts w:ascii="Arial Narrow" w:hAnsi="Arial Narrow"/>
        </w:rPr>
      </w:pPr>
      <w:r w:rsidRPr="002E0B26">
        <w:rPr>
          <w:rFonts w:ascii="Arial Narrow" w:hAnsi="Arial Narrow"/>
        </w:rPr>
        <w:t xml:space="preserve">Clients can enter trades primarily through PFSPL’s App and </w:t>
      </w:r>
      <w:r w:rsidR="00830418" w:rsidRPr="002E0B26">
        <w:rPr>
          <w:rFonts w:ascii="Arial Narrow" w:hAnsi="Arial Narrow"/>
        </w:rPr>
        <w:t>Desktop Application</w:t>
      </w:r>
      <w:r w:rsidRPr="002E0B26">
        <w:rPr>
          <w:rFonts w:ascii="Arial Narrow" w:hAnsi="Arial Narrow"/>
        </w:rPr>
        <w:t xml:space="preserve">. One of the </w:t>
      </w:r>
      <w:r w:rsidR="00830418" w:rsidRPr="002E0B26">
        <w:rPr>
          <w:rFonts w:ascii="Arial Narrow" w:hAnsi="Arial Narrow"/>
        </w:rPr>
        <w:t>parameters</w:t>
      </w:r>
      <w:r w:rsidRPr="002E0B26">
        <w:rPr>
          <w:rFonts w:ascii="Arial Narrow" w:hAnsi="Arial Narrow"/>
        </w:rPr>
        <w:t xml:space="preserve"> for acceptance of client’s trade is subject to availability of sufficient </w:t>
      </w:r>
      <w:r w:rsidR="00830418" w:rsidRPr="002E0B26">
        <w:rPr>
          <w:rFonts w:ascii="Arial Narrow" w:hAnsi="Arial Narrow"/>
        </w:rPr>
        <w:t xml:space="preserve">margins. Client can purchase intraday/delivery stocks as per available margin. </w:t>
      </w:r>
    </w:p>
    <w:p w:rsidR="00007C71" w:rsidRPr="002E0B26" w:rsidRDefault="00007C71" w:rsidP="001F2DEC">
      <w:pPr>
        <w:ind w:left="720"/>
        <w:jc w:val="both"/>
        <w:rPr>
          <w:rFonts w:ascii="Arial Narrow" w:hAnsi="Arial Narrow"/>
        </w:rPr>
      </w:pPr>
      <w:r w:rsidRPr="002E0B26">
        <w:rPr>
          <w:rFonts w:ascii="Arial Narrow" w:hAnsi="Arial Narrow"/>
        </w:rPr>
        <w:t xml:space="preserve">Further, in exceptional </w:t>
      </w:r>
      <w:r w:rsidR="00830418" w:rsidRPr="002E0B26">
        <w:rPr>
          <w:rFonts w:ascii="Arial Narrow" w:hAnsi="Arial Narrow"/>
        </w:rPr>
        <w:t>situation, due</w:t>
      </w:r>
      <w:r w:rsidRPr="002E0B26">
        <w:rPr>
          <w:rFonts w:ascii="Arial Narrow" w:hAnsi="Arial Narrow"/>
        </w:rPr>
        <w:t xml:space="preserve"> to technical issues, trade order are dealers punched then, there is a system for monitoring client debit balances, if any, on a daily and online basis. Risk team to monitor the debtors as well as asking for the margin money are deployed.</w:t>
      </w:r>
    </w:p>
    <w:p w:rsidR="00007C71" w:rsidRPr="002E0B26" w:rsidRDefault="00007C71" w:rsidP="001F2DEC">
      <w:pPr>
        <w:ind w:left="720"/>
        <w:jc w:val="both"/>
        <w:rPr>
          <w:rFonts w:ascii="Arial Narrow" w:hAnsi="Arial Narrow"/>
        </w:rPr>
      </w:pPr>
      <w:r w:rsidRPr="002E0B26">
        <w:rPr>
          <w:rFonts w:ascii="Arial Narrow" w:hAnsi="Arial Narrow"/>
        </w:rPr>
        <w:t xml:space="preserve">Clients can be followed up either by </w:t>
      </w:r>
      <w:r w:rsidR="00830418" w:rsidRPr="002E0B26">
        <w:rPr>
          <w:rFonts w:ascii="Arial Narrow" w:hAnsi="Arial Narrow"/>
        </w:rPr>
        <w:t>telephone</w:t>
      </w:r>
      <w:r w:rsidRPr="002E0B26">
        <w:rPr>
          <w:rFonts w:ascii="Arial Narrow" w:hAnsi="Arial Narrow"/>
        </w:rPr>
        <w:t>, sending SMS or e-mails:</w:t>
      </w:r>
    </w:p>
    <w:p w:rsidR="00007C71" w:rsidRPr="002E0B26" w:rsidRDefault="00007C71" w:rsidP="00007C71">
      <w:pPr>
        <w:numPr>
          <w:ilvl w:val="1"/>
          <w:numId w:val="1"/>
        </w:numPr>
        <w:rPr>
          <w:rFonts w:ascii="Arial Narrow" w:hAnsi="Arial Narrow"/>
        </w:rPr>
      </w:pPr>
      <w:r w:rsidRPr="002E0B26">
        <w:rPr>
          <w:rFonts w:ascii="Arial Narrow" w:hAnsi="Arial Narrow"/>
        </w:rPr>
        <w:t xml:space="preserve">No further exposure is allowed if debit balance continues for 5 days from the date of </w:t>
      </w:r>
      <w:proofErr w:type="spellStart"/>
      <w:r w:rsidRPr="002E0B26">
        <w:rPr>
          <w:rFonts w:ascii="Arial Narrow" w:hAnsi="Arial Narrow"/>
        </w:rPr>
        <w:t>payin</w:t>
      </w:r>
      <w:proofErr w:type="spellEnd"/>
      <w:r w:rsidRPr="002E0B26">
        <w:rPr>
          <w:rFonts w:ascii="Arial Narrow" w:hAnsi="Arial Narrow"/>
        </w:rPr>
        <w:t>.</w:t>
      </w:r>
    </w:p>
    <w:p w:rsidR="00007C71" w:rsidRPr="002E0B26" w:rsidRDefault="00007C71" w:rsidP="00007C71">
      <w:pPr>
        <w:numPr>
          <w:ilvl w:val="1"/>
          <w:numId w:val="1"/>
        </w:numPr>
        <w:rPr>
          <w:rFonts w:ascii="Arial Narrow" w:hAnsi="Arial Narrow"/>
        </w:rPr>
      </w:pPr>
      <w:r w:rsidRPr="002E0B26">
        <w:rPr>
          <w:rFonts w:ascii="Arial Narrow" w:hAnsi="Arial Narrow"/>
        </w:rPr>
        <w:t>In case full payment not received from the client, Risk team may retain those securities in CUS</w:t>
      </w:r>
      <w:r w:rsidR="00830418" w:rsidRPr="002E0B26">
        <w:rPr>
          <w:rFonts w:ascii="Arial Narrow" w:hAnsi="Arial Narrow"/>
        </w:rPr>
        <w:t>P</w:t>
      </w:r>
      <w:r w:rsidRPr="002E0B26">
        <w:rPr>
          <w:rFonts w:ascii="Arial Narrow" w:hAnsi="Arial Narrow"/>
        </w:rPr>
        <w:t>A account as per SEBI guidelines.</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Margin Collection Procedure (CM Segment)</w:t>
      </w:r>
    </w:p>
    <w:p w:rsidR="00007C71" w:rsidRPr="002E0B26" w:rsidRDefault="00007C71" w:rsidP="00007C71">
      <w:pPr>
        <w:numPr>
          <w:ilvl w:val="1"/>
          <w:numId w:val="1"/>
        </w:numPr>
        <w:rPr>
          <w:rFonts w:ascii="Arial Narrow" w:hAnsi="Arial Narrow"/>
        </w:rPr>
      </w:pPr>
      <w:r w:rsidRPr="002E0B26">
        <w:rPr>
          <w:rFonts w:ascii="Arial Narrow" w:hAnsi="Arial Narrow"/>
        </w:rPr>
        <w:t>Client limits are allowed as per margin norms of the relevant Exchanges. Clients are required to provide upfront margin in the form of funds or Securities before any trade as per the discretion of Risk team</w:t>
      </w:r>
    </w:p>
    <w:p w:rsidR="00007C71" w:rsidRPr="002E0B26" w:rsidRDefault="00007C71" w:rsidP="00007C71">
      <w:pPr>
        <w:numPr>
          <w:ilvl w:val="1"/>
          <w:numId w:val="1"/>
        </w:numPr>
        <w:rPr>
          <w:rFonts w:ascii="Arial Narrow" w:hAnsi="Arial Narrow"/>
        </w:rPr>
      </w:pPr>
      <w:r w:rsidRPr="002E0B26">
        <w:rPr>
          <w:rFonts w:ascii="Arial Narrow" w:hAnsi="Arial Narrow"/>
        </w:rPr>
        <w:t>PFSPL shall take proper and adequate margin from clients and shall allow to carry forward positions as per the Exchanges/SEBI norms and guidelines. At the end of the day, shortage of client margin is calculated and reported to the Exchanges. During the trading hours, if any short margin observed, Risk team may square off the positions of the client.</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Margin Collection Procedure (FO Segment)</w:t>
      </w:r>
    </w:p>
    <w:p w:rsidR="00007C71" w:rsidRPr="002E0B26" w:rsidRDefault="00007C71" w:rsidP="001F2DEC">
      <w:pPr>
        <w:ind w:left="720"/>
        <w:jc w:val="both"/>
        <w:rPr>
          <w:rFonts w:ascii="Arial Narrow" w:hAnsi="Arial Narrow"/>
        </w:rPr>
      </w:pPr>
      <w:r w:rsidRPr="002E0B26">
        <w:rPr>
          <w:rFonts w:ascii="Arial Narrow" w:hAnsi="Arial Narrow"/>
        </w:rPr>
        <w:t>In this segment, the Exchanges stipulate that every position taken should be based on the available initial margin. Apart from the initial margin, Exchanges have introduced exposure margin in order to meet the market volatility and risk associated.</w:t>
      </w:r>
    </w:p>
    <w:p w:rsidR="00007C71" w:rsidRPr="002E0B26" w:rsidRDefault="00007C71" w:rsidP="001F2DEC">
      <w:pPr>
        <w:ind w:left="720"/>
        <w:jc w:val="both"/>
        <w:rPr>
          <w:rFonts w:ascii="Arial Narrow" w:hAnsi="Arial Narrow"/>
        </w:rPr>
      </w:pPr>
      <w:r w:rsidRPr="002E0B26">
        <w:rPr>
          <w:rFonts w:ascii="Arial Narrow" w:hAnsi="Arial Narrow"/>
        </w:rPr>
        <w:lastRenderedPageBreak/>
        <w:t>Based on the requirements of Exchanges, PFSPL insists that all the clients in F&amp;O segment should have sufficient margins (Span + Exposure margin) for taking position in the F&amp;O segment. The margin should either be clear credit balance or in the form of collaterals i.e. Value of securities (after applying appropriate haircut) accepted as collateral from the clients by way of 'Margin Pledge' created in Depository system for the purpose of Margin. Appropriate hair cut would be applicable for collaterals in the form of Securities before taking the valuation.</w:t>
      </w:r>
    </w:p>
    <w:p w:rsidR="00007C71" w:rsidRPr="002E0B26" w:rsidRDefault="00007C71" w:rsidP="001F2DEC">
      <w:pPr>
        <w:ind w:left="720"/>
        <w:jc w:val="both"/>
        <w:rPr>
          <w:rFonts w:ascii="Arial Narrow" w:hAnsi="Arial Narrow"/>
        </w:rPr>
      </w:pPr>
      <w:r w:rsidRPr="002E0B26">
        <w:rPr>
          <w:rFonts w:ascii="Arial Narrow" w:hAnsi="Arial Narrow"/>
        </w:rPr>
        <w:t>The MTM loss arising in F&amp;O positions need to be paid on the same day (T day) or till T+1 day so that MTM settlement can be performed properly, failing which the positions may be reduced to the available margin level. In order to retain the position in such cases is possible only if Funds are transferred from the client's bank account either through online banking or Fund Transfer.</w:t>
      </w:r>
    </w:p>
    <w:p w:rsidR="00007C71" w:rsidRPr="002E0B26" w:rsidRDefault="00007C71" w:rsidP="001F2DEC">
      <w:pPr>
        <w:ind w:left="720"/>
        <w:jc w:val="both"/>
        <w:rPr>
          <w:rFonts w:ascii="Arial Narrow" w:hAnsi="Arial Narrow"/>
        </w:rPr>
      </w:pPr>
      <w:r w:rsidRPr="002E0B26">
        <w:rPr>
          <w:rFonts w:ascii="Arial Narrow" w:hAnsi="Arial Narrow"/>
        </w:rPr>
        <w:t xml:space="preserve">Additional </w:t>
      </w:r>
      <w:proofErr w:type="spellStart"/>
      <w:r w:rsidRPr="002E0B26">
        <w:rPr>
          <w:rFonts w:ascii="Arial Narrow" w:hAnsi="Arial Narrow"/>
        </w:rPr>
        <w:t>Adhoc</w:t>
      </w:r>
      <w:proofErr w:type="spellEnd"/>
      <w:r w:rsidRPr="002E0B26">
        <w:rPr>
          <w:rFonts w:ascii="Arial Narrow" w:hAnsi="Arial Narrow"/>
        </w:rPr>
        <w:t xml:space="preserve"> Margin (i.e. over &amp; above span margin) may be levied as a risk containment measure to be determined on the basis of market factors and risk factors associated with the securities being traded.</w:t>
      </w:r>
    </w:p>
    <w:p w:rsidR="00007C71" w:rsidRPr="001F2DEC" w:rsidRDefault="00007C71" w:rsidP="001F2DEC">
      <w:pPr>
        <w:pStyle w:val="ListParagraph"/>
        <w:numPr>
          <w:ilvl w:val="0"/>
          <w:numId w:val="9"/>
        </w:numPr>
        <w:ind w:hanging="630"/>
        <w:rPr>
          <w:rFonts w:ascii="Arial Narrow" w:hAnsi="Arial Narrow"/>
          <w:b/>
          <w:bCs/>
        </w:rPr>
      </w:pPr>
      <w:r w:rsidRPr="001F2DEC">
        <w:rPr>
          <w:rFonts w:ascii="Arial Narrow" w:hAnsi="Arial Narrow"/>
          <w:b/>
          <w:bCs/>
        </w:rPr>
        <w:t>Options RMS:</w:t>
      </w:r>
    </w:p>
    <w:p w:rsidR="00830418" w:rsidRPr="002E0B26" w:rsidRDefault="00007C71" w:rsidP="001F2DEC">
      <w:pPr>
        <w:ind w:left="720"/>
        <w:jc w:val="both"/>
        <w:rPr>
          <w:rFonts w:ascii="Arial Narrow" w:hAnsi="Arial Narrow"/>
        </w:rPr>
      </w:pPr>
      <w:r w:rsidRPr="002E0B26">
        <w:rPr>
          <w:rFonts w:ascii="Arial Narrow" w:hAnsi="Arial Narrow"/>
        </w:rPr>
        <w:t xml:space="preserve">The options carry </w:t>
      </w:r>
      <w:r w:rsidR="00F773AE" w:rsidRPr="002E0B26">
        <w:rPr>
          <w:rFonts w:ascii="Arial Narrow" w:hAnsi="Arial Narrow"/>
        </w:rPr>
        <w:t>forward and</w:t>
      </w:r>
      <w:r w:rsidR="00830418" w:rsidRPr="002E0B26">
        <w:rPr>
          <w:rFonts w:ascii="Arial Narrow" w:hAnsi="Arial Narrow"/>
        </w:rPr>
        <w:t xml:space="preserve"> intraday </w:t>
      </w:r>
      <w:r w:rsidRPr="002E0B26">
        <w:rPr>
          <w:rFonts w:ascii="Arial Narrow" w:hAnsi="Arial Narrow"/>
        </w:rPr>
        <w:t xml:space="preserve">buying position </w:t>
      </w:r>
      <w:r w:rsidR="00830418" w:rsidRPr="002E0B26">
        <w:rPr>
          <w:rFonts w:ascii="Arial Narrow" w:hAnsi="Arial Narrow"/>
        </w:rPr>
        <w:t>may</w:t>
      </w:r>
      <w:r w:rsidRPr="002E0B26">
        <w:rPr>
          <w:rFonts w:ascii="Arial Narrow" w:hAnsi="Arial Narrow"/>
        </w:rPr>
        <w:t xml:space="preserve"> be allowed against clear credit balance / premium credit</w:t>
      </w:r>
      <w:r w:rsidR="00830418" w:rsidRPr="002E0B26">
        <w:rPr>
          <w:rFonts w:ascii="Arial Narrow" w:hAnsi="Arial Narrow"/>
        </w:rPr>
        <w:t xml:space="preserve"> or collaterals</w:t>
      </w:r>
      <w:r w:rsidRPr="002E0B26">
        <w:rPr>
          <w:rFonts w:ascii="Arial Narrow" w:hAnsi="Arial Narrow"/>
        </w:rPr>
        <w:t xml:space="preserve">. </w:t>
      </w:r>
      <w:r w:rsidR="00830418" w:rsidRPr="002E0B26">
        <w:rPr>
          <w:rFonts w:ascii="Arial Narrow" w:hAnsi="Arial Narrow"/>
        </w:rPr>
        <w:t xml:space="preserve">The same will be at the sole discretion of </w:t>
      </w:r>
      <w:r w:rsidRPr="002E0B26">
        <w:rPr>
          <w:rFonts w:ascii="Arial Narrow" w:hAnsi="Arial Narrow"/>
        </w:rPr>
        <w:t>PFSPL risk team</w:t>
      </w:r>
      <w:r w:rsidR="00830418" w:rsidRPr="002E0B26">
        <w:rPr>
          <w:rFonts w:ascii="Arial Narrow" w:hAnsi="Arial Narrow"/>
        </w:rPr>
        <w:t xml:space="preserve">. </w:t>
      </w:r>
    </w:p>
    <w:p w:rsidR="00007C71" w:rsidRPr="002E0B26" w:rsidRDefault="00007C71" w:rsidP="001F2DEC">
      <w:pPr>
        <w:ind w:left="720"/>
        <w:jc w:val="both"/>
        <w:rPr>
          <w:rFonts w:ascii="Arial Narrow" w:hAnsi="Arial Narrow"/>
        </w:rPr>
      </w:pPr>
      <w:r w:rsidRPr="002E0B26">
        <w:rPr>
          <w:rFonts w:ascii="Arial Narrow" w:hAnsi="Arial Narrow"/>
        </w:rPr>
        <w:t xml:space="preserve">Options selling involve unlimited risk and thereby Exchanges specify high span margin &amp; exposure margin and hence will be allowed only after sufficient margin provided by the client. Deep out of the money options selling may not be entertained and similarly option’s having less liquidity may not be allowed. Risk team may restrict </w:t>
      </w:r>
      <w:r w:rsidR="006F0035" w:rsidRPr="002E0B26">
        <w:rPr>
          <w:rFonts w:ascii="Arial Narrow" w:hAnsi="Arial Narrow"/>
        </w:rPr>
        <w:t>Trading in</w:t>
      </w:r>
      <w:r w:rsidRPr="002E0B26">
        <w:rPr>
          <w:rFonts w:ascii="Arial Narrow" w:hAnsi="Arial Narrow"/>
        </w:rPr>
        <w:t xml:space="preserve"> near month contract </w:t>
      </w:r>
      <w:r w:rsidR="006F0035" w:rsidRPr="002E0B26">
        <w:rPr>
          <w:rFonts w:ascii="Arial Narrow" w:hAnsi="Arial Narrow"/>
        </w:rPr>
        <w:t>from Expiry-2 days. Trading may be allowed in near month contract at the sole discretion of PFSPL</w:t>
      </w:r>
    </w:p>
    <w:p w:rsidR="00007C71" w:rsidRPr="002E0B26" w:rsidRDefault="00007C71" w:rsidP="001F2DEC">
      <w:pPr>
        <w:ind w:left="720"/>
        <w:jc w:val="both"/>
        <w:rPr>
          <w:rFonts w:ascii="Arial Narrow" w:hAnsi="Arial Narrow"/>
        </w:rPr>
      </w:pPr>
      <w:r w:rsidRPr="002E0B26">
        <w:rPr>
          <w:rFonts w:ascii="Arial Narrow" w:hAnsi="Arial Narrow"/>
        </w:rPr>
        <w:t>The risk team will have sole discretion to allow or disallow trading in any contract basis risk parameters.</w:t>
      </w:r>
    </w:p>
    <w:p w:rsidR="00007C71" w:rsidRPr="001F2DEC" w:rsidRDefault="00007C71" w:rsidP="001F2DEC">
      <w:pPr>
        <w:pStyle w:val="ListParagraph"/>
        <w:numPr>
          <w:ilvl w:val="0"/>
          <w:numId w:val="9"/>
        </w:numPr>
        <w:ind w:hanging="630"/>
        <w:rPr>
          <w:rFonts w:ascii="Arial Narrow" w:hAnsi="Arial Narrow"/>
          <w:b/>
          <w:bCs/>
        </w:rPr>
      </w:pPr>
      <w:r w:rsidRPr="001F2DEC">
        <w:rPr>
          <w:rFonts w:ascii="Arial Narrow" w:hAnsi="Arial Narrow"/>
          <w:b/>
          <w:bCs/>
        </w:rPr>
        <w:t>Physical Settlement in Derivatives:</w:t>
      </w:r>
    </w:p>
    <w:p w:rsidR="00007C71" w:rsidRPr="002E0B26" w:rsidRDefault="00007C71" w:rsidP="001F2DEC">
      <w:pPr>
        <w:ind w:left="720"/>
        <w:jc w:val="both"/>
        <w:rPr>
          <w:rFonts w:ascii="Arial Narrow" w:hAnsi="Arial Narrow"/>
        </w:rPr>
      </w:pPr>
      <w:r w:rsidRPr="002E0B26">
        <w:rPr>
          <w:rFonts w:ascii="Arial Narrow" w:hAnsi="Arial Narrow"/>
        </w:rPr>
        <w:t xml:space="preserve">A client can request for physical delivery in FO segment only if he brings entire delivery margin on or prior to the expiry day. If the client wants to convert ITM/ATM to physical </w:t>
      </w:r>
      <w:proofErr w:type="gramStart"/>
      <w:r w:rsidRPr="002E0B26">
        <w:rPr>
          <w:rFonts w:ascii="Arial Narrow" w:hAnsi="Arial Narrow"/>
        </w:rPr>
        <w:t>delivery</w:t>
      </w:r>
      <w:proofErr w:type="gramEnd"/>
      <w:r w:rsidRPr="002E0B26">
        <w:rPr>
          <w:rFonts w:ascii="Arial Narrow" w:hAnsi="Arial Narrow"/>
        </w:rPr>
        <w:t xml:space="preserve"> then client shall bring the required margin as prescribed by the Exchange or PFSPL from time to time. In case the required margins are not provided by client then PFSPL reserves the right to liquidate the contract without allowing client to convert to physical settlement</w:t>
      </w:r>
    </w:p>
    <w:p w:rsidR="00007C71" w:rsidRPr="002E0B26" w:rsidRDefault="00007C71" w:rsidP="001F2DEC">
      <w:pPr>
        <w:ind w:left="720"/>
        <w:jc w:val="both"/>
        <w:rPr>
          <w:rFonts w:ascii="Arial Narrow" w:hAnsi="Arial Narrow"/>
        </w:rPr>
      </w:pPr>
      <w:r w:rsidRPr="002E0B26">
        <w:rPr>
          <w:rFonts w:ascii="Arial Narrow" w:hAnsi="Arial Narrow"/>
        </w:rPr>
        <w:t>The risk team will have sole discretion to allow or disallow trading in any contract basis risk parameters.</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Right to Liquidate Position</w:t>
      </w:r>
    </w:p>
    <w:p w:rsidR="00007C71" w:rsidRPr="002E0B26" w:rsidRDefault="00007C71" w:rsidP="001F2DEC">
      <w:pPr>
        <w:ind w:left="720"/>
        <w:jc w:val="both"/>
        <w:rPr>
          <w:rFonts w:ascii="Arial Narrow" w:hAnsi="Arial Narrow"/>
        </w:rPr>
      </w:pPr>
      <w:r w:rsidRPr="002E0B26">
        <w:rPr>
          <w:rFonts w:ascii="Arial Narrow" w:hAnsi="Arial Narrow"/>
        </w:rPr>
        <w:t>Without prejudice to the stock broker's other rights (including the right to refer a matter to arbitration), the client understands that the stock broker shall be entitled to liquidate/close out all or any of the client's positions for non-payment of margins or other amounts, outstanding debts, etc. and adjust the proceeds of such liquidation/close out, if any, against the client's liabilities/obligations. Any and all losses and financial charges on account of such liquidation/closing-out shall be charged to and borne by the client.</w:t>
      </w:r>
    </w:p>
    <w:p w:rsidR="00007C71" w:rsidRPr="002E0B26" w:rsidRDefault="00007C71" w:rsidP="001F2DEC">
      <w:pPr>
        <w:ind w:left="720"/>
        <w:jc w:val="both"/>
        <w:rPr>
          <w:rFonts w:ascii="Arial Narrow" w:hAnsi="Arial Narrow"/>
        </w:rPr>
      </w:pPr>
      <w:r w:rsidRPr="002E0B26">
        <w:rPr>
          <w:rFonts w:ascii="Arial Narrow" w:hAnsi="Arial Narrow"/>
        </w:rPr>
        <w:t xml:space="preserve">In the event of death or insolvency of the client or his/its otherwise becoming incapable of receiving and paying for or delivering or transferring securities which the client has ordered to be bought or sold, stock broker may </w:t>
      </w:r>
      <w:r w:rsidRPr="002E0B26">
        <w:rPr>
          <w:rFonts w:ascii="Arial Narrow" w:hAnsi="Arial Narrow"/>
        </w:rPr>
        <w:lastRenderedPageBreak/>
        <w:t>close out the transaction of the client and claim losses, if any, against the estate of the client. The client or his nominees, successors, heirs and assignee shall be entitled to any surplus which may result there from. The client shall note that transfer of funds/securities in favour of a Nominee shall be valid discharge by the stock broker against the legal heir subject to completion of all necessary transmission related formalities.</w:t>
      </w:r>
    </w:p>
    <w:p w:rsidR="00007C71" w:rsidRPr="002E0B26" w:rsidRDefault="00007C71" w:rsidP="001F2DEC">
      <w:pPr>
        <w:ind w:left="720"/>
        <w:jc w:val="both"/>
        <w:rPr>
          <w:rFonts w:ascii="Arial Narrow" w:hAnsi="Arial Narrow"/>
        </w:rPr>
      </w:pPr>
      <w:r w:rsidRPr="002E0B26">
        <w:rPr>
          <w:rFonts w:ascii="Arial Narrow" w:hAnsi="Arial Narrow"/>
        </w:rPr>
        <w:t>Risk Head to decide on the priority of securities to be square off from securities of a client i.e. which scrip is to be liquidated first. Generally, security with highest collateral value will be liquidated first.</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CUS</w:t>
      </w:r>
      <w:r w:rsidR="006F0035" w:rsidRPr="002E0B26">
        <w:rPr>
          <w:rFonts w:ascii="Arial Narrow" w:hAnsi="Arial Narrow"/>
          <w:b/>
          <w:bCs/>
        </w:rPr>
        <w:t>P</w:t>
      </w:r>
      <w:r w:rsidRPr="002E0B26">
        <w:rPr>
          <w:rFonts w:ascii="Arial Narrow" w:hAnsi="Arial Narrow"/>
          <w:b/>
          <w:bCs/>
        </w:rPr>
        <w:t>A square off Process</w:t>
      </w:r>
    </w:p>
    <w:p w:rsidR="00007C71" w:rsidRPr="002E0B26" w:rsidRDefault="00007C71" w:rsidP="001F2DEC">
      <w:pPr>
        <w:ind w:left="720"/>
        <w:jc w:val="both"/>
        <w:rPr>
          <w:rFonts w:ascii="Arial Narrow" w:hAnsi="Arial Narrow"/>
        </w:rPr>
      </w:pPr>
      <w:r w:rsidRPr="002E0B26">
        <w:rPr>
          <w:rFonts w:ascii="Arial Narrow" w:hAnsi="Arial Narrow"/>
        </w:rPr>
        <w:t>The CUS</w:t>
      </w:r>
      <w:r w:rsidR="006F0035" w:rsidRPr="002E0B26">
        <w:rPr>
          <w:rFonts w:ascii="Arial Narrow" w:hAnsi="Arial Narrow"/>
        </w:rPr>
        <w:t>P</w:t>
      </w:r>
      <w:r w:rsidRPr="002E0B26">
        <w:rPr>
          <w:rFonts w:ascii="Arial Narrow" w:hAnsi="Arial Narrow"/>
        </w:rPr>
        <w:t>A account shall be used to hold securities of clients who have not paid for the purchases. Such shares cannot be held for more than seven trading days with broker, after which securities need to be sold if the client does not bring in money. In case where Securities are transferred to CUS</w:t>
      </w:r>
      <w:r w:rsidR="006F0035" w:rsidRPr="002E0B26">
        <w:rPr>
          <w:rFonts w:ascii="Arial Narrow" w:hAnsi="Arial Narrow"/>
        </w:rPr>
        <w:t>P</w:t>
      </w:r>
      <w:r w:rsidRPr="002E0B26">
        <w:rPr>
          <w:rFonts w:ascii="Arial Narrow" w:hAnsi="Arial Narrow"/>
        </w:rPr>
        <w:t>A then Stock Broker shall be at liberty to sell such client’s securities as per prevalent market rate of such securities from time to time to the extent of unpaid amount.</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Disclaimer</w:t>
      </w:r>
    </w:p>
    <w:p w:rsidR="00007C71" w:rsidRPr="002E0B26" w:rsidRDefault="00007C71" w:rsidP="001F2DEC">
      <w:pPr>
        <w:ind w:left="720"/>
        <w:jc w:val="both"/>
        <w:rPr>
          <w:rFonts w:ascii="Arial Narrow" w:hAnsi="Arial Narrow"/>
        </w:rPr>
      </w:pPr>
      <w:r w:rsidRPr="002E0B26">
        <w:rPr>
          <w:rFonts w:ascii="Arial Narrow" w:hAnsi="Arial Narrow"/>
        </w:rPr>
        <w:t>Client agrees and accepts that if for any reason there is system/network issue/Exchange circuits and Trading is halted or open positions could not be squared off, client will not hold PFSPL responsible for the losses arising out of the same.</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Other Risk Management Mechanism:</w:t>
      </w:r>
    </w:p>
    <w:tbl>
      <w:tblPr>
        <w:tblW w:w="0" w:type="auto"/>
        <w:tblInd w:w="720" w:type="dxa"/>
        <w:tblCellMar>
          <w:left w:w="0" w:type="dxa"/>
          <w:right w:w="0" w:type="dxa"/>
        </w:tblCellMar>
        <w:tblLook w:val="04A0" w:firstRow="1" w:lastRow="0" w:firstColumn="1" w:lastColumn="0" w:noHBand="0" w:noVBand="1"/>
      </w:tblPr>
      <w:tblGrid>
        <w:gridCol w:w="423"/>
        <w:gridCol w:w="1675"/>
        <w:gridCol w:w="7632"/>
      </w:tblGrid>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b/>
                <w:bCs/>
              </w:rPr>
            </w:pPr>
            <w:r w:rsidRPr="002E0B26">
              <w:rPr>
                <w:rFonts w:ascii="Arial Narrow" w:hAnsi="Arial Narrow"/>
                <w:b/>
                <w:bCs/>
              </w:rPr>
              <w:t>Sr. No.</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b/>
                <w:bCs/>
              </w:rPr>
            </w:pPr>
            <w:r w:rsidRPr="002E0B26">
              <w:rPr>
                <w:rFonts w:ascii="Arial Narrow" w:hAnsi="Arial Narrow"/>
                <w:b/>
                <w:bCs/>
              </w:rPr>
              <w:t>Particulars</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b/>
                <w:bCs/>
              </w:rPr>
            </w:pPr>
            <w:r w:rsidRPr="002E0B26">
              <w:rPr>
                <w:rFonts w:ascii="Arial Narrow" w:hAnsi="Arial Narrow"/>
                <w:b/>
                <w:bCs/>
              </w:rPr>
              <w:t>Limits</w:t>
            </w:r>
          </w:p>
        </w:tc>
      </w:tr>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1.</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Restricted Scrips &amp; Banned Scrips</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1F2DEC">
            <w:pPr>
              <w:numPr>
                <w:ilvl w:val="1"/>
                <w:numId w:val="1"/>
              </w:numPr>
              <w:tabs>
                <w:tab w:val="clear" w:pos="1440"/>
                <w:tab w:val="num" w:pos="496"/>
              </w:tabs>
              <w:ind w:left="496"/>
              <w:rPr>
                <w:rFonts w:ascii="Arial Narrow" w:hAnsi="Arial Narrow"/>
              </w:rPr>
            </w:pPr>
            <w:r w:rsidRPr="002E0B26">
              <w:rPr>
                <w:rFonts w:ascii="Arial Narrow" w:hAnsi="Arial Narrow"/>
              </w:rPr>
              <w:t>Securities in BAN Period: No fresh positions will be allowed in Securities declared in BAN period in FO by exchange</w:t>
            </w:r>
          </w:p>
          <w:p w:rsidR="00007C71" w:rsidRPr="002E0B26" w:rsidRDefault="00007C71" w:rsidP="001F2DEC">
            <w:pPr>
              <w:numPr>
                <w:ilvl w:val="1"/>
                <w:numId w:val="1"/>
              </w:numPr>
              <w:tabs>
                <w:tab w:val="clear" w:pos="1440"/>
                <w:tab w:val="num" w:pos="496"/>
              </w:tabs>
              <w:ind w:left="496"/>
              <w:rPr>
                <w:rFonts w:ascii="Arial Narrow" w:hAnsi="Arial Narrow"/>
              </w:rPr>
            </w:pPr>
            <w:r w:rsidRPr="002E0B26">
              <w:rPr>
                <w:rFonts w:ascii="Arial Narrow" w:hAnsi="Arial Narrow"/>
              </w:rPr>
              <w:t xml:space="preserve">PFSPL reserves the right to refuse execution of trade in below mentioned Restricted </w:t>
            </w:r>
            <w:r w:rsidR="006F0035" w:rsidRPr="002E0B26">
              <w:rPr>
                <w:rFonts w:ascii="Arial Narrow" w:hAnsi="Arial Narrow"/>
              </w:rPr>
              <w:t>Scrips:</w:t>
            </w:r>
          </w:p>
          <w:p w:rsidR="00007C71" w:rsidRPr="002E0B26" w:rsidRDefault="00007C71" w:rsidP="001F2DEC">
            <w:pPr>
              <w:numPr>
                <w:ilvl w:val="2"/>
                <w:numId w:val="7"/>
              </w:numPr>
              <w:ind w:left="496"/>
              <w:rPr>
                <w:rFonts w:ascii="Arial Narrow" w:hAnsi="Arial Narrow"/>
              </w:rPr>
            </w:pPr>
            <w:r w:rsidRPr="002E0B26">
              <w:rPr>
                <w:rFonts w:ascii="Arial Narrow" w:hAnsi="Arial Narrow"/>
              </w:rPr>
              <w:t>Securities in ASM/GSM/SMS List</w:t>
            </w:r>
          </w:p>
          <w:p w:rsidR="00007C71" w:rsidRPr="002E0B26" w:rsidRDefault="00007C71" w:rsidP="001F2DEC">
            <w:pPr>
              <w:numPr>
                <w:ilvl w:val="2"/>
                <w:numId w:val="7"/>
              </w:numPr>
              <w:ind w:left="496"/>
              <w:rPr>
                <w:rFonts w:ascii="Arial Narrow" w:hAnsi="Arial Narrow"/>
              </w:rPr>
            </w:pPr>
            <w:r w:rsidRPr="002E0B26">
              <w:rPr>
                <w:rFonts w:ascii="Arial Narrow" w:hAnsi="Arial Narrow"/>
              </w:rPr>
              <w:t>Securities Restricted as per Internal Policy</w:t>
            </w:r>
          </w:p>
        </w:tc>
      </w:tr>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2.</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Penalty/ Delayed Payment Charges</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1F2DEC">
            <w:pPr>
              <w:numPr>
                <w:ilvl w:val="1"/>
                <w:numId w:val="1"/>
              </w:numPr>
              <w:tabs>
                <w:tab w:val="clear" w:pos="1440"/>
                <w:tab w:val="num" w:pos="496"/>
              </w:tabs>
              <w:ind w:left="481" w:hanging="345"/>
              <w:rPr>
                <w:rFonts w:ascii="Arial Narrow" w:hAnsi="Arial Narrow"/>
              </w:rPr>
            </w:pPr>
            <w:r w:rsidRPr="002E0B26">
              <w:rPr>
                <w:rFonts w:ascii="Arial Narrow" w:hAnsi="Arial Narrow"/>
              </w:rPr>
              <w:t xml:space="preserve">Any delay payment after settlement will attract </w:t>
            </w:r>
            <w:r w:rsidR="006F0035" w:rsidRPr="002E0B26">
              <w:rPr>
                <w:rFonts w:ascii="Arial Narrow" w:hAnsi="Arial Narrow"/>
              </w:rPr>
              <w:t>up to</w:t>
            </w:r>
            <w:r w:rsidRPr="002E0B26">
              <w:rPr>
                <w:rFonts w:ascii="Arial Narrow" w:hAnsi="Arial Narrow"/>
              </w:rPr>
              <w:t xml:space="preserve"> </w:t>
            </w:r>
            <w:r w:rsidR="006F0035" w:rsidRPr="002E0B26">
              <w:rPr>
                <w:rFonts w:ascii="Arial Narrow" w:hAnsi="Arial Narrow"/>
              </w:rPr>
              <w:t>18</w:t>
            </w:r>
            <w:r w:rsidRPr="002E0B26">
              <w:rPr>
                <w:rFonts w:ascii="Arial Narrow" w:hAnsi="Arial Narrow"/>
              </w:rPr>
              <w:t>% interest p.a. or such other rates as decided from time to time. Further client may not be allowed to take fresh exposure till debit balance is cleared within the Exchange prescribed guideline.</w:t>
            </w:r>
          </w:p>
          <w:p w:rsidR="00007C71" w:rsidRPr="002E0B26" w:rsidRDefault="00007C71" w:rsidP="00FF60FB">
            <w:pPr>
              <w:numPr>
                <w:ilvl w:val="1"/>
                <w:numId w:val="1"/>
              </w:numPr>
              <w:tabs>
                <w:tab w:val="clear" w:pos="1440"/>
                <w:tab w:val="num" w:pos="481"/>
              </w:tabs>
              <w:ind w:left="480" w:hanging="330"/>
              <w:rPr>
                <w:rFonts w:ascii="Arial Narrow" w:hAnsi="Arial Narrow"/>
              </w:rPr>
            </w:pPr>
            <w:r w:rsidRPr="002E0B26">
              <w:rPr>
                <w:rFonts w:ascii="Arial Narrow" w:hAnsi="Arial Narrow"/>
              </w:rPr>
              <w:t>Any penalty related to Ban period/Short Margin</w:t>
            </w:r>
            <w:r w:rsidR="006F0035" w:rsidRPr="002E0B26">
              <w:rPr>
                <w:rFonts w:ascii="Arial Narrow" w:hAnsi="Arial Narrow"/>
              </w:rPr>
              <w:t xml:space="preserve"> due to MTM Loss</w:t>
            </w:r>
            <w:r w:rsidRPr="002E0B26">
              <w:rPr>
                <w:rFonts w:ascii="Arial Narrow" w:hAnsi="Arial Narrow"/>
              </w:rPr>
              <w:t xml:space="preserve"> or any other penalty by the Exchange on transaction will be recovered from the respective client. It will be subject to Exchange regulations and as decided from time to time.</w:t>
            </w:r>
          </w:p>
        </w:tc>
      </w:tr>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lastRenderedPageBreak/>
              <w:t>3.</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Surveillance</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1F2DEC">
            <w:pPr>
              <w:ind w:left="181"/>
              <w:rPr>
                <w:rFonts w:ascii="Arial Narrow" w:hAnsi="Arial Narrow"/>
              </w:rPr>
            </w:pPr>
            <w:r w:rsidRPr="002E0B26">
              <w:rPr>
                <w:rFonts w:ascii="Arial Narrow" w:hAnsi="Arial Narrow"/>
              </w:rPr>
              <w:t>In case of unethical practices strict action will be taken and the decision will lie solely with the PFSPL. Such as:</w:t>
            </w:r>
          </w:p>
          <w:p w:rsidR="00007C71" w:rsidRPr="002E0B26" w:rsidRDefault="00007C71" w:rsidP="001F2DEC">
            <w:pPr>
              <w:numPr>
                <w:ilvl w:val="1"/>
                <w:numId w:val="1"/>
              </w:numPr>
              <w:tabs>
                <w:tab w:val="clear" w:pos="1440"/>
                <w:tab w:val="num" w:pos="451"/>
              </w:tabs>
              <w:ind w:left="451" w:hanging="270"/>
              <w:rPr>
                <w:rFonts w:ascii="Arial Narrow" w:hAnsi="Arial Narrow"/>
              </w:rPr>
            </w:pPr>
            <w:r w:rsidRPr="002E0B26">
              <w:rPr>
                <w:rFonts w:ascii="Arial Narrow" w:hAnsi="Arial Narrow"/>
              </w:rPr>
              <w:t>Synchronized trading</w:t>
            </w:r>
          </w:p>
          <w:p w:rsidR="00007C71" w:rsidRPr="002E0B26" w:rsidRDefault="00007C71" w:rsidP="001F2DEC">
            <w:pPr>
              <w:numPr>
                <w:ilvl w:val="1"/>
                <w:numId w:val="1"/>
              </w:numPr>
              <w:tabs>
                <w:tab w:val="clear" w:pos="1440"/>
                <w:tab w:val="num" w:pos="451"/>
              </w:tabs>
              <w:ind w:left="451" w:hanging="270"/>
              <w:rPr>
                <w:rFonts w:ascii="Arial Narrow" w:hAnsi="Arial Narrow"/>
              </w:rPr>
            </w:pPr>
            <w:r w:rsidRPr="002E0B26">
              <w:rPr>
                <w:rFonts w:ascii="Arial Narrow" w:hAnsi="Arial Narrow"/>
              </w:rPr>
              <w:t>Off market Transfer to Multiple clients and from multiple to single account</w:t>
            </w:r>
          </w:p>
          <w:p w:rsidR="00007C71" w:rsidRPr="002E0B26" w:rsidRDefault="00007C71" w:rsidP="001F2DEC">
            <w:pPr>
              <w:numPr>
                <w:ilvl w:val="1"/>
                <w:numId w:val="1"/>
              </w:numPr>
              <w:tabs>
                <w:tab w:val="clear" w:pos="1440"/>
                <w:tab w:val="num" w:pos="451"/>
              </w:tabs>
              <w:ind w:left="451" w:hanging="270"/>
              <w:rPr>
                <w:rFonts w:ascii="Arial Narrow" w:hAnsi="Arial Narrow"/>
              </w:rPr>
            </w:pPr>
            <w:r w:rsidRPr="002E0B26">
              <w:rPr>
                <w:rFonts w:ascii="Arial Narrow" w:hAnsi="Arial Narrow"/>
              </w:rPr>
              <w:t>Client Script Concentration</w:t>
            </w:r>
          </w:p>
          <w:p w:rsidR="00007C71" w:rsidRPr="002E0B26" w:rsidRDefault="00007C71" w:rsidP="001F2DEC">
            <w:pPr>
              <w:numPr>
                <w:ilvl w:val="1"/>
                <w:numId w:val="1"/>
              </w:numPr>
              <w:tabs>
                <w:tab w:val="clear" w:pos="1440"/>
                <w:tab w:val="num" w:pos="451"/>
              </w:tabs>
              <w:ind w:left="451" w:hanging="270"/>
              <w:rPr>
                <w:rFonts w:ascii="Arial Narrow" w:hAnsi="Arial Narrow"/>
              </w:rPr>
            </w:pPr>
            <w:r w:rsidRPr="002E0B26">
              <w:rPr>
                <w:rFonts w:ascii="Arial Narrow" w:hAnsi="Arial Narrow"/>
              </w:rPr>
              <w:t>Profit loss transfer</w:t>
            </w:r>
          </w:p>
          <w:p w:rsidR="00007C71" w:rsidRPr="002E0B26" w:rsidRDefault="00007C71" w:rsidP="001F2DEC">
            <w:pPr>
              <w:numPr>
                <w:ilvl w:val="1"/>
                <w:numId w:val="1"/>
              </w:numPr>
              <w:tabs>
                <w:tab w:val="clear" w:pos="1440"/>
                <w:tab w:val="num" w:pos="451"/>
              </w:tabs>
              <w:ind w:left="451" w:hanging="270"/>
              <w:rPr>
                <w:rFonts w:ascii="Arial Narrow" w:hAnsi="Arial Narrow"/>
              </w:rPr>
            </w:pPr>
            <w:r w:rsidRPr="002E0B26">
              <w:rPr>
                <w:rFonts w:ascii="Arial Narrow" w:hAnsi="Arial Narrow"/>
              </w:rPr>
              <w:t>Circular /Insider Trading/Price Rigging is strictly prohibited and subject to action</w:t>
            </w:r>
          </w:p>
        </w:tc>
      </w:tr>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4.</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Single Order Limit</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1F2DEC">
            <w:pPr>
              <w:ind w:left="181"/>
              <w:rPr>
                <w:rFonts w:ascii="Arial Narrow" w:hAnsi="Arial Narrow"/>
              </w:rPr>
            </w:pPr>
            <w:r w:rsidRPr="002E0B26">
              <w:rPr>
                <w:rFonts w:ascii="Arial Narrow" w:hAnsi="Arial Narrow"/>
              </w:rPr>
              <w:t>PFSPL reserves the right to restrict order/request above certain value/quantity in respect of certain securities as a part of due diligence.</w:t>
            </w:r>
          </w:p>
        </w:tc>
      </w:tr>
      <w:tr w:rsidR="00007C71" w:rsidRPr="002E0B26" w:rsidTr="001F2DE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5.</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007C71">
            <w:pPr>
              <w:rPr>
                <w:rFonts w:ascii="Arial Narrow" w:hAnsi="Arial Narrow"/>
              </w:rPr>
            </w:pPr>
            <w:r w:rsidRPr="002E0B26">
              <w:rPr>
                <w:rFonts w:ascii="Arial Narrow" w:hAnsi="Arial Narrow"/>
              </w:rPr>
              <w:t>General</w:t>
            </w:r>
          </w:p>
        </w:tc>
        <w:tc>
          <w:tcPr>
            <w:tcW w:w="0" w:type="auto"/>
            <w:tcBorders>
              <w:top w:val="single" w:sz="6" w:space="0" w:color="auto"/>
              <w:left w:val="single" w:sz="6" w:space="0" w:color="auto"/>
              <w:bottom w:val="single" w:sz="6" w:space="0" w:color="auto"/>
              <w:right w:val="single" w:sz="6" w:space="0" w:color="auto"/>
            </w:tcBorders>
            <w:hideMark/>
          </w:tcPr>
          <w:p w:rsidR="00007C71" w:rsidRPr="002E0B26" w:rsidRDefault="00007C71" w:rsidP="001F2DEC">
            <w:pPr>
              <w:numPr>
                <w:ilvl w:val="1"/>
                <w:numId w:val="1"/>
              </w:numPr>
              <w:tabs>
                <w:tab w:val="clear" w:pos="1440"/>
                <w:tab w:val="num" w:pos="451"/>
              </w:tabs>
              <w:ind w:left="451" w:hanging="269"/>
              <w:rPr>
                <w:rFonts w:ascii="Arial Narrow" w:hAnsi="Arial Narrow"/>
              </w:rPr>
            </w:pPr>
            <w:r w:rsidRPr="002E0B26">
              <w:rPr>
                <w:rFonts w:ascii="Arial Narrow" w:hAnsi="Arial Narrow"/>
              </w:rPr>
              <w:t>No Family adjustment of ledger is allowed.</w:t>
            </w:r>
          </w:p>
          <w:p w:rsidR="00007C71" w:rsidRPr="002E0B26" w:rsidRDefault="00007C71" w:rsidP="001F2DEC">
            <w:pPr>
              <w:numPr>
                <w:ilvl w:val="1"/>
                <w:numId w:val="1"/>
              </w:numPr>
              <w:tabs>
                <w:tab w:val="clear" w:pos="1440"/>
                <w:tab w:val="num" w:pos="451"/>
              </w:tabs>
              <w:ind w:left="451" w:hanging="269"/>
              <w:rPr>
                <w:rFonts w:ascii="Arial Narrow" w:hAnsi="Arial Narrow"/>
              </w:rPr>
            </w:pPr>
            <w:r w:rsidRPr="002E0B26">
              <w:rPr>
                <w:rFonts w:ascii="Arial Narrow" w:hAnsi="Arial Narrow"/>
              </w:rPr>
              <w:t xml:space="preserve">No </w:t>
            </w:r>
            <w:r w:rsidR="006F0035" w:rsidRPr="002E0B26">
              <w:rPr>
                <w:rFonts w:ascii="Arial Narrow" w:hAnsi="Arial Narrow"/>
              </w:rPr>
              <w:t>third-party</w:t>
            </w:r>
            <w:r w:rsidRPr="002E0B26">
              <w:rPr>
                <w:rFonts w:ascii="Arial Narrow" w:hAnsi="Arial Narrow"/>
              </w:rPr>
              <w:t xml:space="preserve"> collateral securities will be accepted.</w:t>
            </w:r>
          </w:p>
          <w:p w:rsidR="00007C71" w:rsidRPr="002E0B26" w:rsidRDefault="00007C71" w:rsidP="001F2DEC">
            <w:pPr>
              <w:numPr>
                <w:ilvl w:val="1"/>
                <w:numId w:val="1"/>
              </w:numPr>
              <w:tabs>
                <w:tab w:val="clear" w:pos="1440"/>
                <w:tab w:val="num" w:pos="451"/>
              </w:tabs>
              <w:ind w:left="451" w:hanging="269"/>
              <w:rPr>
                <w:rFonts w:ascii="Arial Narrow" w:hAnsi="Arial Narrow"/>
              </w:rPr>
            </w:pPr>
            <w:r w:rsidRPr="002E0B26">
              <w:rPr>
                <w:rFonts w:ascii="Arial Narrow" w:hAnsi="Arial Narrow"/>
              </w:rPr>
              <w:t>No unlimited limits will be given on any Client ID and Dealer ID.</w:t>
            </w:r>
          </w:p>
        </w:tc>
      </w:tr>
    </w:tbl>
    <w:p w:rsidR="00007C71" w:rsidRPr="002E0B26" w:rsidRDefault="00007C71" w:rsidP="001F2DEC">
      <w:pPr>
        <w:ind w:left="720"/>
        <w:rPr>
          <w:rFonts w:ascii="Arial Narrow" w:hAnsi="Arial Narrow"/>
        </w:rPr>
      </w:pPr>
      <w:r w:rsidRPr="002E0B26">
        <w:rPr>
          <w:rFonts w:ascii="Arial Narrow" w:hAnsi="Arial Narrow"/>
        </w:rPr>
        <w:br/>
      </w:r>
      <w:r w:rsidRPr="002E0B26">
        <w:rPr>
          <w:rFonts w:ascii="Arial Narrow" w:hAnsi="Arial Narrow"/>
          <w:b/>
          <w:bCs/>
        </w:rPr>
        <w:t>Note:</w:t>
      </w:r>
      <w:r w:rsidRPr="002E0B26">
        <w:rPr>
          <w:rFonts w:ascii="Arial Narrow" w:hAnsi="Arial Narrow"/>
        </w:rPr>
        <w:t> PFSPL Risk team reserves rights to give exceptions/deviations to this policy at their discretion.</w:t>
      </w:r>
    </w:p>
    <w:p w:rsidR="00007C71" w:rsidRPr="002E0B26" w:rsidRDefault="00007C71" w:rsidP="001F2DEC">
      <w:pPr>
        <w:numPr>
          <w:ilvl w:val="0"/>
          <w:numId w:val="1"/>
        </w:numPr>
        <w:ind w:hanging="630"/>
        <w:rPr>
          <w:rFonts w:ascii="Arial Narrow" w:hAnsi="Arial Narrow"/>
          <w:b/>
          <w:bCs/>
        </w:rPr>
      </w:pPr>
      <w:r w:rsidRPr="002E0B26">
        <w:rPr>
          <w:rFonts w:ascii="Arial Narrow" w:hAnsi="Arial Narrow"/>
          <w:b/>
          <w:bCs/>
        </w:rPr>
        <w:t>Margin Trading Facility - Risk Management</w:t>
      </w:r>
    </w:p>
    <w:p w:rsidR="00007C71" w:rsidRPr="002E0B26" w:rsidRDefault="00007C71" w:rsidP="001F2DEC">
      <w:pPr>
        <w:ind w:left="720"/>
        <w:jc w:val="both"/>
        <w:rPr>
          <w:rFonts w:ascii="Arial Narrow" w:hAnsi="Arial Narrow"/>
        </w:rPr>
      </w:pPr>
      <w:r w:rsidRPr="002E0B26">
        <w:rPr>
          <w:rFonts w:ascii="Arial Narrow" w:hAnsi="Arial Narrow"/>
        </w:rPr>
        <w:t>Clients availing Margin Trading Facility, should maintain margins as per terms agreed upon for availing such facility.</w:t>
      </w:r>
    </w:p>
    <w:p w:rsidR="00007C71" w:rsidRPr="002E0B26" w:rsidRDefault="00007C71" w:rsidP="001F2DEC">
      <w:pPr>
        <w:ind w:left="720"/>
        <w:jc w:val="both"/>
        <w:rPr>
          <w:rFonts w:ascii="Arial Narrow" w:hAnsi="Arial Narrow"/>
        </w:rPr>
      </w:pPr>
      <w:r w:rsidRPr="002E0B26">
        <w:rPr>
          <w:rFonts w:ascii="Arial Narrow" w:hAnsi="Arial Narrow"/>
        </w:rPr>
        <w:t>The stocks deposited as collateral for availing margin trading facility and the stocks purchased under the margin trading facility (Funded stocks) shall be marked separately and monitored on a real time basis. There would be no benefit of the Mark to Market Profit for the MTF position in terms of releasing any limits for trading.</w:t>
      </w:r>
    </w:p>
    <w:p w:rsidR="00007C71" w:rsidRPr="002E0B26" w:rsidRDefault="00007C71" w:rsidP="001F2DEC">
      <w:pPr>
        <w:ind w:left="720"/>
        <w:jc w:val="both"/>
        <w:rPr>
          <w:rFonts w:ascii="Arial Narrow" w:hAnsi="Arial Narrow"/>
        </w:rPr>
      </w:pPr>
      <w:r w:rsidRPr="002E0B26">
        <w:rPr>
          <w:rFonts w:ascii="Arial Narrow" w:hAnsi="Arial Narrow"/>
        </w:rPr>
        <w:t>Client shall pay any shortage in the required margin immediately on receiving demand (margin call) on the trade day failing which PFSPL shall be at liberty to liquidate the funded shares and/or collateral shares to recover the outstanding dues</w:t>
      </w:r>
    </w:p>
    <w:p w:rsidR="00007C71" w:rsidRPr="002E0B26" w:rsidRDefault="00007C71" w:rsidP="001F2DEC">
      <w:pPr>
        <w:ind w:left="720"/>
        <w:jc w:val="both"/>
        <w:rPr>
          <w:rFonts w:ascii="Arial Narrow" w:hAnsi="Arial Narrow"/>
        </w:rPr>
      </w:pPr>
      <w:r w:rsidRPr="002E0B26">
        <w:rPr>
          <w:rFonts w:ascii="Arial Narrow" w:hAnsi="Arial Narrow"/>
        </w:rPr>
        <w:t>In case there is a shortfall, margin call would be made on T day. In the normal market condition, it is expected that the client makes good the shortage within T +4 day failing which the position would be liquidated on T+5 day to the extent of margin shortfall or positions may be squared off at the discretion of risk team</w:t>
      </w:r>
    </w:p>
    <w:p w:rsidR="00007C71" w:rsidRPr="002E0B26" w:rsidRDefault="00007C71" w:rsidP="001F2DEC">
      <w:pPr>
        <w:ind w:left="720"/>
        <w:jc w:val="both"/>
        <w:rPr>
          <w:rFonts w:ascii="Arial Narrow" w:hAnsi="Arial Narrow"/>
        </w:rPr>
      </w:pPr>
      <w:r w:rsidRPr="002E0B26">
        <w:rPr>
          <w:rFonts w:ascii="Arial Narrow" w:hAnsi="Arial Narrow"/>
        </w:rPr>
        <w:t>PFSPL at its sole discretion reserves the right to withdraw the facility and ask for payments from the client or ask for higher margins depending on the extreme situations.</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977"/>
      </w:tblGrid>
      <w:tr w:rsidR="002E66D7" w:rsidRPr="002E0B26" w:rsidTr="00FF60FB">
        <w:trPr>
          <w:trHeight w:val="277"/>
        </w:trPr>
        <w:tc>
          <w:tcPr>
            <w:tcW w:w="4350" w:type="dxa"/>
            <w:shd w:val="clear" w:color="auto" w:fill="auto"/>
          </w:tcPr>
          <w:p w:rsidR="002E66D7" w:rsidRPr="002E0B26" w:rsidRDefault="002E66D7" w:rsidP="002F2324">
            <w:pPr>
              <w:spacing w:after="0" w:line="240" w:lineRule="auto"/>
              <w:ind w:left="105"/>
              <w:jc w:val="both"/>
              <w:rPr>
                <w:rFonts w:ascii="Arial Narrow" w:hAnsi="Arial Narrow"/>
                <w:color w:val="000000"/>
                <w:shd w:val="clear" w:color="auto" w:fill="FFFFFF"/>
              </w:rPr>
            </w:pPr>
            <w:r w:rsidRPr="002E0B26">
              <w:rPr>
                <w:rFonts w:ascii="Arial Narrow" w:hAnsi="Arial Narrow"/>
              </w:rPr>
              <w:t>Policy reviewed by:</w:t>
            </w:r>
          </w:p>
        </w:tc>
        <w:tc>
          <w:tcPr>
            <w:tcW w:w="5977" w:type="dxa"/>
            <w:shd w:val="clear" w:color="auto" w:fill="auto"/>
          </w:tcPr>
          <w:p w:rsidR="002E66D7" w:rsidRPr="002E0B26" w:rsidRDefault="002E66D7" w:rsidP="002F2324">
            <w:pPr>
              <w:spacing w:after="0" w:line="240" w:lineRule="auto"/>
              <w:ind w:left="75"/>
              <w:jc w:val="both"/>
              <w:rPr>
                <w:rFonts w:ascii="Arial Narrow" w:hAnsi="Arial Narrow"/>
                <w:color w:val="000000"/>
                <w:shd w:val="clear" w:color="auto" w:fill="FFFFFF"/>
              </w:rPr>
            </w:pPr>
            <w:r w:rsidRPr="002E0B26">
              <w:rPr>
                <w:rFonts w:ascii="Arial Narrow" w:hAnsi="Arial Narrow"/>
                <w:color w:val="000000"/>
                <w:shd w:val="clear" w:color="auto" w:fill="FFFFFF"/>
              </w:rPr>
              <w:t xml:space="preserve">Mr. </w:t>
            </w:r>
            <w:proofErr w:type="spellStart"/>
            <w:r w:rsidRPr="002E0B26">
              <w:rPr>
                <w:rFonts w:ascii="Arial Narrow" w:hAnsi="Arial Narrow"/>
                <w:color w:val="000000"/>
                <w:shd w:val="clear" w:color="auto" w:fill="FFFFFF"/>
              </w:rPr>
              <w:t>Mehul</w:t>
            </w:r>
            <w:proofErr w:type="spellEnd"/>
            <w:r w:rsidRPr="002E0B26">
              <w:rPr>
                <w:rFonts w:ascii="Arial Narrow" w:hAnsi="Arial Narrow"/>
                <w:color w:val="000000"/>
                <w:shd w:val="clear" w:color="auto" w:fill="FFFFFF"/>
              </w:rPr>
              <w:t xml:space="preserve"> Prakash </w:t>
            </w:r>
            <w:proofErr w:type="spellStart"/>
            <w:r w:rsidRPr="002E0B26">
              <w:rPr>
                <w:rFonts w:ascii="Arial Narrow" w:hAnsi="Arial Narrow"/>
                <w:color w:val="000000"/>
                <w:shd w:val="clear" w:color="auto" w:fill="FFFFFF"/>
              </w:rPr>
              <w:t>Bhadra</w:t>
            </w:r>
            <w:proofErr w:type="spellEnd"/>
          </w:p>
        </w:tc>
      </w:tr>
      <w:tr w:rsidR="002E66D7" w:rsidRPr="002E0B26" w:rsidTr="00FF60FB">
        <w:trPr>
          <w:trHeight w:val="277"/>
        </w:trPr>
        <w:tc>
          <w:tcPr>
            <w:tcW w:w="4350" w:type="dxa"/>
            <w:shd w:val="clear" w:color="auto" w:fill="auto"/>
          </w:tcPr>
          <w:p w:rsidR="002E66D7" w:rsidRPr="002E0B26" w:rsidRDefault="002E66D7" w:rsidP="002F2324">
            <w:pPr>
              <w:spacing w:after="0" w:line="240" w:lineRule="auto"/>
              <w:ind w:left="105"/>
              <w:jc w:val="both"/>
              <w:rPr>
                <w:rFonts w:ascii="Arial Narrow" w:hAnsi="Arial Narrow"/>
                <w:color w:val="000000"/>
                <w:shd w:val="clear" w:color="auto" w:fill="FFFFFF"/>
              </w:rPr>
            </w:pPr>
            <w:r w:rsidRPr="002E0B26">
              <w:rPr>
                <w:rFonts w:ascii="Arial Narrow" w:hAnsi="Arial Narrow"/>
              </w:rPr>
              <w:t>Policy Approved by:</w:t>
            </w:r>
          </w:p>
        </w:tc>
        <w:tc>
          <w:tcPr>
            <w:tcW w:w="5977" w:type="dxa"/>
            <w:shd w:val="clear" w:color="auto" w:fill="auto"/>
          </w:tcPr>
          <w:p w:rsidR="002E66D7" w:rsidRPr="002E0B26" w:rsidRDefault="002E66D7" w:rsidP="002F2324">
            <w:pPr>
              <w:spacing w:after="0" w:line="240" w:lineRule="auto"/>
              <w:ind w:left="75"/>
              <w:jc w:val="both"/>
              <w:rPr>
                <w:rFonts w:ascii="Arial Narrow" w:hAnsi="Arial Narrow"/>
                <w:color w:val="000000"/>
                <w:shd w:val="clear" w:color="auto" w:fill="FFFFFF"/>
              </w:rPr>
            </w:pPr>
            <w:r w:rsidRPr="002E0B26">
              <w:rPr>
                <w:rFonts w:ascii="Arial Narrow" w:hAnsi="Arial Narrow"/>
                <w:color w:val="000000"/>
                <w:shd w:val="clear" w:color="auto" w:fill="FFFFFF"/>
              </w:rPr>
              <w:t xml:space="preserve">Mr. Arvind </w:t>
            </w:r>
            <w:proofErr w:type="spellStart"/>
            <w:r w:rsidRPr="002E0B26">
              <w:rPr>
                <w:rFonts w:ascii="Arial Narrow" w:hAnsi="Arial Narrow"/>
                <w:color w:val="000000"/>
                <w:shd w:val="clear" w:color="auto" w:fill="FFFFFF"/>
              </w:rPr>
              <w:t>Vinchhivora</w:t>
            </w:r>
            <w:proofErr w:type="spellEnd"/>
          </w:p>
        </w:tc>
      </w:tr>
      <w:tr w:rsidR="002E66D7" w:rsidRPr="002E0B26" w:rsidTr="00FF60FB">
        <w:trPr>
          <w:trHeight w:val="277"/>
        </w:trPr>
        <w:tc>
          <w:tcPr>
            <w:tcW w:w="4350" w:type="dxa"/>
            <w:shd w:val="clear" w:color="auto" w:fill="auto"/>
          </w:tcPr>
          <w:p w:rsidR="002E66D7" w:rsidRPr="002E0B26" w:rsidRDefault="002E66D7" w:rsidP="002F2324">
            <w:pPr>
              <w:spacing w:after="0" w:line="240" w:lineRule="auto"/>
              <w:ind w:left="105"/>
              <w:jc w:val="both"/>
              <w:rPr>
                <w:rFonts w:ascii="Arial Narrow" w:hAnsi="Arial Narrow"/>
                <w:color w:val="000000"/>
                <w:shd w:val="clear" w:color="auto" w:fill="FFFFFF"/>
              </w:rPr>
            </w:pPr>
            <w:r w:rsidRPr="002E0B26">
              <w:rPr>
                <w:rFonts w:ascii="Arial Narrow" w:hAnsi="Arial Narrow"/>
              </w:rPr>
              <w:t>Approved by the Board on:</w:t>
            </w:r>
          </w:p>
        </w:tc>
        <w:tc>
          <w:tcPr>
            <w:tcW w:w="5977" w:type="dxa"/>
            <w:shd w:val="clear" w:color="auto" w:fill="auto"/>
          </w:tcPr>
          <w:p w:rsidR="002E66D7" w:rsidRPr="002E0B26" w:rsidRDefault="002E66D7" w:rsidP="002E66D7">
            <w:pPr>
              <w:spacing w:after="0" w:line="240" w:lineRule="auto"/>
              <w:ind w:left="75"/>
              <w:jc w:val="both"/>
              <w:rPr>
                <w:rFonts w:ascii="Arial Narrow" w:hAnsi="Arial Narrow"/>
                <w:color w:val="000000"/>
                <w:shd w:val="clear" w:color="auto" w:fill="FFFFFF"/>
              </w:rPr>
            </w:pPr>
            <w:r w:rsidRPr="002E0B26">
              <w:rPr>
                <w:rFonts w:ascii="Arial Narrow" w:hAnsi="Arial Narrow"/>
                <w:color w:val="000000"/>
                <w:shd w:val="clear" w:color="auto" w:fill="FFFFFF"/>
              </w:rPr>
              <w:t>April 15, 2025</w:t>
            </w:r>
          </w:p>
        </w:tc>
      </w:tr>
      <w:tr w:rsidR="002E66D7" w:rsidRPr="002E0B26" w:rsidTr="00FF60FB">
        <w:trPr>
          <w:trHeight w:val="277"/>
        </w:trPr>
        <w:tc>
          <w:tcPr>
            <w:tcW w:w="4350" w:type="dxa"/>
            <w:shd w:val="clear" w:color="auto" w:fill="auto"/>
          </w:tcPr>
          <w:p w:rsidR="002E66D7" w:rsidRPr="002E0B26" w:rsidRDefault="002E66D7" w:rsidP="002F2324">
            <w:pPr>
              <w:spacing w:after="0" w:line="240" w:lineRule="auto"/>
              <w:ind w:left="105"/>
              <w:jc w:val="both"/>
              <w:rPr>
                <w:rFonts w:ascii="Arial Narrow" w:hAnsi="Arial Narrow"/>
                <w:color w:val="000000"/>
                <w:shd w:val="clear" w:color="auto" w:fill="FFFFFF"/>
              </w:rPr>
            </w:pPr>
            <w:r w:rsidRPr="002E0B26">
              <w:rPr>
                <w:rFonts w:ascii="Arial Narrow" w:hAnsi="Arial Narrow"/>
              </w:rPr>
              <w:t>Name of the entity:</w:t>
            </w:r>
          </w:p>
        </w:tc>
        <w:tc>
          <w:tcPr>
            <w:tcW w:w="5977" w:type="dxa"/>
            <w:shd w:val="clear" w:color="auto" w:fill="auto"/>
          </w:tcPr>
          <w:p w:rsidR="002E66D7" w:rsidRPr="002E0B26" w:rsidRDefault="002E66D7" w:rsidP="002F2324">
            <w:pPr>
              <w:spacing w:after="0" w:line="240" w:lineRule="auto"/>
              <w:ind w:left="75"/>
              <w:jc w:val="both"/>
              <w:rPr>
                <w:rFonts w:ascii="Arial Narrow" w:hAnsi="Arial Narrow"/>
                <w:color w:val="000000"/>
                <w:shd w:val="clear" w:color="auto" w:fill="FFFFFF"/>
              </w:rPr>
            </w:pPr>
            <w:r w:rsidRPr="002E0B26">
              <w:rPr>
                <w:rFonts w:ascii="Arial Narrow" w:hAnsi="Arial Narrow"/>
                <w:color w:val="000000"/>
                <w:shd w:val="clear" w:color="auto" w:fill="FFFFFF"/>
              </w:rPr>
              <w:t>Pinnacle Forex &amp; Securities Pvt Ltd</w:t>
            </w:r>
          </w:p>
        </w:tc>
      </w:tr>
    </w:tbl>
    <w:p w:rsidR="00007C71" w:rsidRPr="002E0B26" w:rsidRDefault="00007C71">
      <w:pPr>
        <w:rPr>
          <w:rFonts w:ascii="Arial Narrow" w:hAnsi="Arial Narrow"/>
        </w:rPr>
      </w:pPr>
    </w:p>
    <w:sectPr w:rsidR="00007C71" w:rsidRPr="002E0B26" w:rsidSect="000C54DC">
      <w:pgSz w:w="11906" w:h="16838"/>
      <w:pgMar w:top="1872" w:right="720" w:bottom="172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3F8B"/>
    <w:multiLevelType w:val="multilevel"/>
    <w:tmpl w:val="DA101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3B27F1"/>
    <w:multiLevelType w:val="hybridMultilevel"/>
    <w:tmpl w:val="1D68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971F0"/>
    <w:multiLevelType w:val="hybridMultilevel"/>
    <w:tmpl w:val="A31A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B0C6D"/>
    <w:multiLevelType w:val="hybridMultilevel"/>
    <w:tmpl w:val="D0585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lowerRoman"/>
        <w:lvlText w:val="%2."/>
        <w:lvlJc w:val="righ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3">
    <w:abstractNumId w:val="0"/>
    <w:lvlOverride w:ilvl="1">
      <w:lvl w:ilvl="1">
        <w:numFmt w:val="lowerRoman"/>
        <w:lvlText w:val="%2."/>
        <w:lvlJc w:val="right"/>
      </w:lvl>
    </w:lvlOverride>
    <w:lvlOverride w:ilvl="2">
      <w:lvl w:ilvl="2">
        <w:numFmt w:val="lowerLetter"/>
        <w:lvlText w:val="%3."/>
        <w:lvlJc w:val="left"/>
      </w:lvl>
    </w:lvlOverride>
  </w:num>
  <w:num w:numId="4">
    <w:abstractNumId w:val="0"/>
    <w:lvlOverride w:ilvl="1">
      <w:lvl w:ilvl="1">
        <w:numFmt w:val="lowerRoman"/>
        <w:lvlText w:val="%2."/>
        <w:lvlJc w:val="right"/>
      </w:lvl>
    </w:lvlOverride>
  </w:num>
  <w:num w:numId="5">
    <w:abstractNumId w:val="0"/>
    <w:lvlOverride w:ilvl="1">
      <w:lvl w:ilvl="1">
        <w:numFmt w:val="lowerRoman"/>
        <w:lvlText w:val="%2."/>
        <w:lvlJc w:val="right"/>
      </w:lvl>
    </w:lvlOverride>
  </w:num>
  <w:num w:numId="6">
    <w:abstractNumId w:val="0"/>
    <w:lvlOverride w:ilvl="1">
      <w:lvl w:ilvl="1">
        <w:numFmt w:val="lowerRoman"/>
        <w:lvlText w:val="%2."/>
        <w:lvlJc w:val="right"/>
      </w:lvl>
    </w:lvlOverride>
  </w:num>
  <w:num w:numId="7">
    <w:abstractNumId w:val="0"/>
    <w:lvlOverride w:ilvl="2">
      <w:lvl w:ilvl="2">
        <w:numFmt w:val="lowerLetter"/>
        <w:lvlText w:val="%3."/>
        <w:lvlJc w:val="left"/>
      </w:lvl>
    </w:lvlOverride>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71"/>
    <w:rsid w:val="00007C71"/>
    <w:rsid w:val="0006731E"/>
    <w:rsid w:val="000C54DC"/>
    <w:rsid w:val="0010194E"/>
    <w:rsid w:val="001F2DEC"/>
    <w:rsid w:val="00214BE1"/>
    <w:rsid w:val="00224601"/>
    <w:rsid w:val="0029126C"/>
    <w:rsid w:val="002E0B26"/>
    <w:rsid w:val="002E66D7"/>
    <w:rsid w:val="006F0035"/>
    <w:rsid w:val="00830418"/>
    <w:rsid w:val="00F773AE"/>
    <w:rsid w:val="00FF60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FC8D"/>
  <w15:chartTrackingRefBased/>
  <w15:docId w15:val="{AA22E07A-DA6A-4572-9B95-ACE47592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7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7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7C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7C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7C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7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7C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C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C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7C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7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C71"/>
    <w:rPr>
      <w:rFonts w:eastAsiaTheme="majorEastAsia" w:cstheme="majorBidi"/>
      <w:color w:val="272727" w:themeColor="text1" w:themeTint="D8"/>
    </w:rPr>
  </w:style>
  <w:style w:type="paragraph" w:styleId="Title">
    <w:name w:val="Title"/>
    <w:basedOn w:val="Normal"/>
    <w:next w:val="Normal"/>
    <w:link w:val="TitleChar"/>
    <w:uiPriority w:val="10"/>
    <w:qFormat/>
    <w:rsid w:val="00007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C71"/>
    <w:pPr>
      <w:spacing w:before="160"/>
      <w:jc w:val="center"/>
    </w:pPr>
    <w:rPr>
      <w:i/>
      <w:iCs/>
      <w:color w:val="404040" w:themeColor="text1" w:themeTint="BF"/>
    </w:rPr>
  </w:style>
  <w:style w:type="character" w:customStyle="1" w:styleId="QuoteChar">
    <w:name w:val="Quote Char"/>
    <w:basedOn w:val="DefaultParagraphFont"/>
    <w:link w:val="Quote"/>
    <w:uiPriority w:val="29"/>
    <w:rsid w:val="00007C71"/>
    <w:rPr>
      <w:i/>
      <w:iCs/>
      <w:color w:val="404040" w:themeColor="text1" w:themeTint="BF"/>
    </w:rPr>
  </w:style>
  <w:style w:type="paragraph" w:styleId="ListParagraph">
    <w:name w:val="List Paragraph"/>
    <w:basedOn w:val="Normal"/>
    <w:uiPriority w:val="34"/>
    <w:qFormat/>
    <w:rsid w:val="00007C71"/>
    <w:pPr>
      <w:ind w:left="720"/>
      <w:contextualSpacing/>
    </w:pPr>
  </w:style>
  <w:style w:type="character" w:styleId="IntenseEmphasis">
    <w:name w:val="Intense Emphasis"/>
    <w:basedOn w:val="DefaultParagraphFont"/>
    <w:uiPriority w:val="21"/>
    <w:qFormat/>
    <w:rsid w:val="00007C71"/>
    <w:rPr>
      <w:i/>
      <w:iCs/>
      <w:color w:val="2F5496" w:themeColor="accent1" w:themeShade="BF"/>
    </w:rPr>
  </w:style>
  <w:style w:type="paragraph" w:styleId="IntenseQuote">
    <w:name w:val="Intense Quote"/>
    <w:basedOn w:val="Normal"/>
    <w:next w:val="Normal"/>
    <w:link w:val="IntenseQuoteChar"/>
    <w:uiPriority w:val="30"/>
    <w:qFormat/>
    <w:rsid w:val="00007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7C71"/>
    <w:rPr>
      <w:i/>
      <w:iCs/>
      <w:color w:val="2F5496" w:themeColor="accent1" w:themeShade="BF"/>
    </w:rPr>
  </w:style>
  <w:style w:type="character" w:styleId="IntenseReference">
    <w:name w:val="Intense Reference"/>
    <w:basedOn w:val="DefaultParagraphFont"/>
    <w:uiPriority w:val="32"/>
    <w:qFormat/>
    <w:rsid w:val="00007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6525">
      <w:bodyDiv w:val="1"/>
      <w:marLeft w:val="0"/>
      <w:marRight w:val="0"/>
      <w:marTop w:val="0"/>
      <w:marBottom w:val="0"/>
      <w:divBdr>
        <w:top w:val="none" w:sz="0" w:space="0" w:color="auto"/>
        <w:left w:val="none" w:sz="0" w:space="0" w:color="auto"/>
        <w:bottom w:val="none" w:sz="0" w:space="0" w:color="auto"/>
        <w:right w:val="none" w:sz="0" w:space="0" w:color="auto"/>
      </w:divBdr>
      <w:divsChild>
        <w:div w:id="2086757959">
          <w:marLeft w:val="0"/>
          <w:marRight w:val="0"/>
          <w:marTop w:val="0"/>
          <w:marBottom w:val="0"/>
          <w:divBdr>
            <w:top w:val="none" w:sz="0" w:space="0" w:color="auto"/>
            <w:left w:val="none" w:sz="0" w:space="0" w:color="auto"/>
            <w:bottom w:val="none" w:sz="0" w:space="0" w:color="auto"/>
            <w:right w:val="none" w:sz="0" w:space="0" w:color="auto"/>
          </w:divBdr>
        </w:div>
        <w:div w:id="1493443769">
          <w:marLeft w:val="0"/>
          <w:marRight w:val="0"/>
          <w:marTop w:val="0"/>
          <w:marBottom w:val="0"/>
          <w:divBdr>
            <w:top w:val="none" w:sz="0" w:space="0" w:color="auto"/>
            <w:left w:val="none" w:sz="0" w:space="0" w:color="auto"/>
            <w:bottom w:val="none" w:sz="0" w:space="0" w:color="auto"/>
            <w:right w:val="none" w:sz="0" w:space="0" w:color="auto"/>
          </w:divBdr>
        </w:div>
        <w:div w:id="2035305070">
          <w:marLeft w:val="0"/>
          <w:marRight w:val="0"/>
          <w:marTop w:val="0"/>
          <w:marBottom w:val="0"/>
          <w:divBdr>
            <w:top w:val="none" w:sz="0" w:space="0" w:color="auto"/>
            <w:left w:val="none" w:sz="0" w:space="0" w:color="auto"/>
            <w:bottom w:val="none" w:sz="0" w:space="0" w:color="auto"/>
            <w:right w:val="none" w:sz="0" w:space="0" w:color="auto"/>
          </w:divBdr>
        </w:div>
        <w:div w:id="108401201">
          <w:marLeft w:val="0"/>
          <w:marRight w:val="0"/>
          <w:marTop w:val="0"/>
          <w:marBottom w:val="0"/>
          <w:divBdr>
            <w:top w:val="none" w:sz="0" w:space="0" w:color="auto"/>
            <w:left w:val="none" w:sz="0" w:space="0" w:color="auto"/>
            <w:bottom w:val="none" w:sz="0" w:space="0" w:color="auto"/>
            <w:right w:val="none" w:sz="0" w:space="0" w:color="auto"/>
          </w:divBdr>
        </w:div>
        <w:div w:id="1662805218">
          <w:marLeft w:val="0"/>
          <w:marRight w:val="0"/>
          <w:marTop w:val="0"/>
          <w:marBottom w:val="0"/>
          <w:divBdr>
            <w:top w:val="none" w:sz="0" w:space="0" w:color="auto"/>
            <w:left w:val="none" w:sz="0" w:space="0" w:color="auto"/>
            <w:bottom w:val="none" w:sz="0" w:space="0" w:color="auto"/>
            <w:right w:val="none" w:sz="0" w:space="0" w:color="auto"/>
          </w:divBdr>
        </w:div>
        <w:div w:id="1746489667">
          <w:marLeft w:val="0"/>
          <w:marRight w:val="0"/>
          <w:marTop w:val="0"/>
          <w:marBottom w:val="0"/>
          <w:divBdr>
            <w:top w:val="none" w:sz="0" w:space="0" w:color="auto"/>
            <w:left w:val="none" w:sz="0" w:space="0" w:color="auto"/>
            <w:bottom w:val="none" w:sz="0" w:space="0" w:color="auto"/>
            <w:right w:val="none" w:sz="0" w:space="0" w:color="auto"/>
          </w:divBdr>
        </w:div>
        <w:div w:id="586382514">
          <w:marLeft w:val="0"/>
          <w:marRight w:val="0"/>
          <w:marTop w:val="0"/>
          <w:marBottom w:val="0"/>
          <w:divBdr>
            <w:top w:val="none" w:sz="0" w:space="0" w:color="auto"/>
            <w:left w:val="none" w:sz="0" w:space="0" w:color="auto"/>
            <w:bottom w:val="none" w:sz="0" w:space="0" w:color="auto"/>
            <w:right w:val="none" w:sz="0" w:space="0" w:color="auto"/>
          </w:divBdr>
        </w:div>
        <w:div w:id="592275332">
          <w:marLeft w:val="0"/>
          <w:marRight w:val="0"/>
          <w:marTop w:val="0"/>
          <w:marBottom w:val="0"/>
          <w:divBdr>
            <w:top w:val="none" w:sz="0" w:space="0" w:color="auto"/>
            <w:left w:val="none" w:sz="0" w:space="0" w:color="auto"/>
            <w:bottom w:val="none" w:sz="0" w:space="0" w:color="auto"/>
            <w:right w:val="none" w:sz="0" w:space="0" w:color="auto"/>
          </w:divBdr>
        </w:div>
      </w:divsChild>
    </w:div>
    <w:div w:id="188693943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61">
          <w:marLeft w:val="0"/>
          <w:marRight w:val="0"/>
          <w:marTop w:val="0"/>
          <w:marBottom w:val="0"/>
          <w:divBdr>
            <w:top w:val="none" w:sz="0" w:space="0" w:color="auto"/>
            <w:left w:val="none" w:sz="0" w:space="0" w:color="auto"/>
            <w:bottom w:val="none" w:sz="0" w:space="0" w:color="auto"/>
            <w:right w:val="none" w:sz="0" w:space="0" w:color="auto"/>
          </w:divBdr>
        </w:div>
        <w:div w:id="562722002">
          <w:marLeft w:val="0"/>
          <w:marRight w:val="0"/>
          <w:marTop w:val="0"/>
          <w:marBottom w:val="0"/>
          <w:divBdr>
            <w:top w:val="none" w:sz="0" w:space="0" w:color="auto"/>
            <w:left w:val="none" w:sz="0" w:space="0" w:color="auto"/>
            <w:bottom w:val="none" w:sz="0" w:space="0" w:color="auto"/>
            <w:right w:val="none" w:sz="0" w:space="0" w:color="auto"/>
          </w:divBdr>
        </w:div>
        <w:div w:id="673918270">
          <w:marLeft w:val="0"/>
          <w:marRight w:val="0"/>
          <w:marTop w:val="0"/>
          <w:marBottom w:val="0"/>
          <w:divBdr>
            <w:top w:val="none" w:sz="0" w:space="0" w:color="auto"/>
            <w:left w:val="none" w:sz="0" w:space="0" w:color="auto"/>
            <w:bottom w:val="none" w:sz="0" w:space="0" w:color="auto"/>
            <w:right w:val="none" w:sz="0" w:space="0" w:color="auto"/>
          </w:divBdr>
        </w:div>
        <w:div w:id="1184394422">
          <w:marLeft w:val="0"/>
          <w:marRight w:val="0"/>
          <w:marTop w:val="0"/>
          <w:marBottom w:val="0"/>
          <w:divBdr>
            <w:top w:val="none" w:sz="0" w:space="0" w:color="auto"/>
            <w:left w:val="none" w:sz="0" w:space="0" w:color="auto"/>
            <w:bottom w:val="none" w:sz="0" w:space="0" w:color="auto"/>
            <w:right w:val="none" w:sz="0" w:space="0" w:color="auto"/>
          </w:divBdr>
        </w:div>
        <w:div w:id="804616700">
          <w:marLeft w:val="0"/>
          <w:marRight w:val="0"/>
          <w:marTop w:val="0"/>
          <w:marBottom w:val="0"/>
          <w:divBdr>
            <w:top w:val="none" w:sz="0" w:space="0" w:color="auto"/>
            <w:left w:val="none" w:sz="0" w:space="0" w:color="auto"/>
            <w:bottom w:val="none" w:sz="0" w:space="0" w:color="auto"/>
            <w:right w:val="none" w:sz="0" w:space="0" w:color="auto"/>
          </w:divBdr>
        </w:div>
        <w:div w:id="1408113438">
          <w:marLeft w:val="0"/>
          <w:marRight w:val="0"/>
          <w:marTop w:val="0"/>
          <w:marBottom w:val="0"/>
          <w:divBdr>
            <w:top w:val="none" w:sz="0" w:space="0" w:color="auto"/>
            <w:left w:val="none" w:sz="0" w:space="0" w:color="auto"/>
            <w:bottom w:val="none" w:sz="0" w:space="0" w:color="auto"/>
            <w:right w:val="none" w:sz="0" w:space="0" w:color="auto"/>
          </w:divBdr>
        </w:div>
        <w:div w:id="1521162022">
          <w:marLeft w:val="0"/>
          <w:marRight w:val="0"/>
          <w:marTop w:val="0"/>
          <w:marBottom w:val="0"/>
          <w:divBdr>
            <w:top w:val="none" w:sz="0" w:space="0" w:color="auto"/>
            <w:left w:val="none" w:sz="0" w:space="0" w:color="auto"/>
            <w:bottom w:val="none" w:sz="0" w:space="0" w:color="auto"/>
            <w:right w:val="none" w:sz="0" w:space="0" w:color="auto"/>
          </w:divBdr>
        </w:div>
        <w:div w:id="112207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Administrator@pfspl.com</dc:creator>
  <cp:keywords/>
  <dc:description/>
  <cp:lastModifiedBy>Prashant W</cp:lastModifiedBy>
  <cp:revision>8</cp:revision>
  <dcterms:created xsi:type="dcterms:W3CDTF">2025-03-03T11:41:00Z</dcterms:created>
  <dcterms:modified xsi:type="dcterms:W3CDTF">2025-07-21T09:46:00Z</dcterms:modified>
</cp:coreProperties>
</file>